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E0B58" w14:textId="77777777" w:rsidR="0087379E" w:rsidRPr="00BE0C28" w:rsidRDefault="0087379E" w:rsidP="00D453A5">
      <w:pPr>
        <w:pStyle w:val="NoSpacing"/>
        <w:rPr>
          <w:b/>
          <w:u w:val="single"/>
        </w:rPr>
      </w:pPr>
      <w:r w:rsidRPr="00BE0C28">
        <w:rPr>
          <w:b/>
          <w:u w:val="single"/>
        </w:rPr>
        <w:t>POLICY</w:t>
      </w:r>
    </w:p>
    <w:p w14:paraId="1EE20624" w14:textId="33858F3B" w:rsidR="005C44DC" w:rsidRPr="00343BDC" w:rsidRDefault="005C44DC" w:rsidP="005C44DC">
      <w:pPr>
        <w:autoSpaceDE w:val="0"/>
        <w:autoSpaceDN w:val="0"/>
        <w:adjustRightInd w:val="0"/>
        <w:spacing w:after="0" w:line="240" w:lineRule="auto"/>
        <w:rPr>
          <w:rFonts w:cs="Verdana"/>
        </w:rPr>
      </w:pPr>
      <w:r w:rsidRPr="00343BDC">
        <w:rPr>
          <w:rFonts w:cs="Verdana"/>
        </w:rPr>
        <w:t>PMB advises investigators o</w:t>
      </w:r>
      <w:r w:rsidR="000C069C" w:rsidRPr="00343BDC">
        <w:rPr>
          <w:rFonts w:cs="Verdana"/>
        </w:rPr>
        <w:t xml:space="preserve">n </w:t>
      </w:r>
      <w:r w:rsidRPr="00343BDC">
        <w:rPr>
          <w:rFonts w:cs="Verdana"/>
        </w:rPr>
        <w:t xml:space="preserve">specific requirements and updates </w:t>
      </w:r>
      <w:r w:rsidR="000C069C" w:rsidRPr="00343BDC">
        <w:rPr>
          <w:rFonts w:cs="Verdana"/>
        </w:rPr>
        <w:t>of</w:t>
      </w:r>
      <w:r w:rsidRPr="00343BDC">
        <w:rPr>
          <w:rFonts w:cs="Verdana"/>
        </w:rPr>
        <w:t xml:space="preserve"> requirements </w:t>
      </w:r>
      <w:r w:rsidR="000C069C" w:rsidRPr="00343BDC">
        <w:rPr>
          <w:rFonts w:cs="Verdana"/>
        </w:rPr>
        <w:t>in relation to</w:t>
      </w:r>
      <w:r w:rsidR="00062018" w:rsidRPr="00343BDC">
        <w:rPr>
          <w:rFonts w:cs="Verdana"/>
        </w:rPr>
        <w:t xml:space="preserve"> </w:t>
      </w:r>
      <w:r w:rsidRPr="00343BDC">
        <w:rPr>
          <w:rFonts w:cs="Verdana"/>
        </w:rPr>
        <w:t>investigational drug management that the FDA and NCI may mandate.</w:t>
      </w:r>
    </w:p>
    <w:p w14:paraId="6D218BCC" w14:textId="6FB5A6BF" w:rsidR="00D55C56" w:rsidRPr="00343BDC" w:rsidRDefault="008D0B7A" w:rsidP="00D453A5">
      <w:pPr>
        <w:pStyle w:val="NoSpacing"/>
        <w:rPr>
          <w:i/>
          <w:color w:val="FF0000"/>
        </w:rPr>
      </w:pPr>
      <w:r w:rsidRPr="00343BDC">
        <w:rPr>
          <w:rFonts w:cs="Arial"/>
          <w:color w:val="0F0F0F"/>
          <w:shd w:val="clear" w:color="auto" w:fill="FFFFFF"/>
        </w:rPr>
        <w:t xml:space="preserve">This policy is to </w:t>
      </w:r>
      <w:r w:rsidR="000C069C" w:rsidRPr="00343BDC">
        <w:rPr>
          <w:rFonts w:cs="Arial"/>
          <w:color w:val="0F0F0F"/>
          <w:shd w:val="clear" w:color="auto" w:fill="FFFFFF"/>
        </w:rPr>
        <w:t>en</w:t>
      </w:r>
      <w:r w:rsidRPr="00343BDC">
        <w:rPr>
          <w:rFonts w:cs="Arial"/>
          <w:color w:val="0F0F0F"/>
          <w:shd w:val="clear" w:color="auto" w:fill="FFFFFF"/>
        </w:rPr>
        <w:t>sure</w:t>
      </w:r>
      <w:r w:rsidR="000C069C" w:rsidRPr="00343BDC">
        <w:rPr>
          <w:rFonts w:cs="Arial"/>
          <w:color w:val="0F0F0F"/>
          <w:shd w:val="clear" w:color="auto" w:fill="FFFFFF"/>
        </w:rPr>
        <w:t xml:space="preserve"> </w:t>
      </w:r>
      <w:r w:rsidRPr="00343BDC">
        <w:rPr>
          <w:rFonts w:cs="Arial"/>
          <w:color w:val="0F0F0F"/>
          <w:shd w:val="clear" w:color="auto" w:fill="FFFFFF"/>
        </w:rPr>
        <w:t>current practice</w:t>
      </w:r>
      <w:r w:rsidR="000C069C" w:rsidRPr="00343BDC">
        <w:rPr>
          <w:rFonts w:cs="Arial"/>
          <w:color w:val="0F0F0F"/>
          <w:shd w:val="clear" w:color="auto" w:fill="FFFFFF"/>
        </w:rPr>
        <w:t>s</w:t>
      </w:r>
      <w:r w:rsidRPr="00343BDC">
        <w:rPr>
          <w:rFonts w:cs="Arial"/>
          <w:color w:val="0F0F0F"/>
          <w:shd w:val="clear" w:color="auto" w:fill="FFFFFF"/>
        </w:rPr>
        <w:t xml:space="preserve"> and requirements</w:t>
      </w:r>
      <w:r w:rsidR="000C069C" w:rsidRPr="00343BDC">
        <w:rPr>
          <w:rFonts w:cs="Arial"/>
          <w:color w:val="0F0F0F"/>
          <w:shd w:val="clear" w:color="auto" w:fill="FFFFFF"/>
        </w:rPr>
        <w:t xml:space="preserve"> of the PMB</w:t>
      </w:r>
      <w:r w:rsidR="003C302E" w:rsidRPr="00343BDC">
        <w:rPr>
          <w:rFonts w:cs="Arial"/>
          <w:color w:val="0F0F0F"/>
          <w:shd w:val="clear" w:color="auto" w:fill="FFFFFF"/>
        </w:rPr>
        <w:t>, related to the use of investigational agents,</w:t>
      </w:r>
      <w:r w:rsidRPr="00343BDC">
        <w:rPr>
          <w:rFonts w:cs="Arial"/>
          <w:color w:val="0F0F0F"/>
          <w:shd w:val="clear" w:color="auto" w:fill="FFFFFF"/>
        </w:rPr>
        <w:t xml:space="preserve"> are reviewed and utilized at all UC NCORP participating sites.</w:t>
      </w:r>
    </w:p>
    <w:p w14:paraId="3DE898D5" w14:textId="77777777" w:rsidR="005C44DC" w:rsidRPr="00343BDC" w:rsidRDefault="005C44DC" w:rsidP="005C44DC">
      <w:pPr>
        <w:autoSpaceDE w:val="0"/>
        <w:autoSpaceDN w:val="0"/>
        <w:adjustRightInd w:val="0"/>
        <w:spacing w:after="0" w:line="240" w:lineRule="auto"/>
        <w:rPr>
          <w:rFonts w:cs="Verdana"/>
        </w:rPr>
      </w:pPr>
    </w:p>
    <w:p w14:paraId="6E71D1FC" w14:textId="1F919E65" w:rsidR="006632DB" w:rsidRPr="00BE0C28" w:rsidRDefault="00D55C56" w:rsidP="00D453A5">
      <w:pPr>
        <w:pStyle w:val="NoSpacing"/>
        <w:rPr>
          <w:b/>
          <w:u w:val="single"/>
        </w:rPr>
      </w:pPr>
      <w:r w:rsidRPr="00BE0C28">
        <w:rPr>
          <w:b/>
          <w:u w:val="single"/>
        </w:rPr>
        <w:t>RESPONSIBILITY</w:t>
      </w:r>
    </w:p>
    <w:p w14:paraId="31B67859" w14:textId="12CE0767" w:rsidR="0087379E" w:rsidRPr="00343BDC" w:rsidRDefault="009F411F" w:rsidP="0087379E">
      <w:pPr>
        <w:pStyle w:val="NoSpacing"/>
        <w:rPr>
          <w:rFonts w:cs="Arial"/>
          <w:color w:val="FF0000"/>
        </w:rPr>
      </w:pPr>
      <w:r w:rsidRPr="00343BDC">
        <w:rPr>
          <w:rFonts w:cs="Arial"/>
        </w:rPr>
        <w:t xml:space="preserve">Principal Investigator </w:t>
      </w:r>
      <w:r w:rsidR="003C302E" w:rsidRPr="00343BDC">
        <w:rPr>
          <w:rFonts w:cs="Arial"/>
        </w:rPr>
        <w:t>or</w:t>
      </w:r>
      <w:r w:rsidRPr="00343BDC">
        <w:rPr>
          <w:rFonts w:cs="Arial"/>
        </w:rPr>
        <w:t xml:space="preserve"> his/her delegated Pharmacy staff and </w:t>
      </w:r>
      <w:r w:rsidR="00612419" w:rsidRPr="00343BDC">
        <w:rPr>
          <w:rFonts w:cs="Arial"/>
        </w:rPr>
        <w:t>R</w:t>
      </w:r>
      <w:r w:rsidR="0056377D" w:rsidRPr="00343BDC">
        <w:rPr>
          <w:rFonts w:cs="Arial"/>
        </w:rPr>
        <w:t>esearch staff</w:t>
      </w:r>
      <w:r w:rsidRPr="00343BDC">
        <w:rPr>
          <w:rFonts w:cs="Arial"/>
        </w:rPr>
        <w:t xml:space="preserve"> </w:t>
      </w:r>
    </w:p>
    <w:p w14:paraId="71AE7E77" w14:textId="77777777" w:rsidR="00EF2166" w:rsidRPr="00343BDC" w:rsidRDefault="00EF2166" w:rsidP="0087379E">
      <w:pPr>
        <w:pStyle w:val="NoSpacing"/>
      </w:pPr>
    </w:p>
    <w:p w14:paraId="4033CDF1" w14:textId="77777777" w:rsidR="0087379E" w:rsidRPr="00BE0C28" w:rsidRDefault="0087379E" w:rsidP="00D453A5">
      <w:pPr>
        <w:pStyle w:val="NoSpacing"/>
        <w:rPr>
          <w:b/>
          <w:u w:val="single"/>
        </w:rPr>
      </w:pPr>
      <w:r w:rsidRPr="00BE0C28">
        <w:rPr>
          <w:b/>
          <w:u w:val="single"/>
        </w:rPr>
        <w:t>GUIDELINES</w:t>
      </w:r>
    </w:p>
    <w:p w14:paraId="1BEC1C6A" w14:textId="677A6BD0" w:rsidR="008D0B7A" w:rsidRPr="00343BDC" w:rsidRDefault="008D0B7A" w:rsidP="00D453A5">
      <w:pPr>
        <w:pStyle w:val="NoSpacing"/>
        <w:rPr>
          <w:b/>
        </w:rPr>
      </w:pPr>
      <w:r w:rsidRPr="00343BDC">
        <w:rPr>
          <w:b/>
        </w:rPr>
        <w:tab/>
      </w:r>
      <w:r w:rsidR="009A0EA7" w:rsidRPr="00343BDC">
        <w:rPr>
          <w:b/>
        </w:rPr>
        <w:t>Per the PMB website t</w:t>
      </w:r>
      <w:r w:rsidRPr="00343BDC">
        <w:rPr>
          <w:b/>
        </w:rPr>
        <w:t>he following items are support PMB provides</w:t>
      </w:r>
      <w:r w:rsidR="009A0EA7" w:rsidRPr="00343BDC">
        <w:rPr>
          <w:b/>
        </w:rPr>
        <w:t>:</w:t>
      </w:r>
      <w:r w:rsidRPr="00343BDC">
        <w:rPr>
          <w:b/>
        </w:rPr>
        <w:t xml:space="preserve"> </w:t>
      </w:r>
    </w:p>
    <w:p w14:paraId="2ED6A56F" w14:textId="3A05D47E" w:rsidR="008D0B7A" w:rsidRPr="00343BDC" w:rsidRDefault="00612419" w:rsidP="00612419">
      <w:pPr>
        <w:pStyle w:val="NoSpacing"/>
        <w:numPr>
          <w:ilvl w:val="0"/>
          <w:numId w:val="15"/>
        </w:numPr>
        <w:rPr>
          <w:i/>
          <w:color w:val="FF0000"/>
        </w:rPr>
      </w:pPr>
      <w:r w:rsidRPr="00343BDC">
        <w:rPr>
          <w:rFonts w:cs="Arial"/>
          <w:color w:val="0F0F0F"/>
          <w:shd w:val="clear" w:color="auto" w:fill="FFFFFF"/>
        </w:rPr>
        <w:t>P</w:t>
      </w:r>
      <w:r w:rsidR="008D0B7A" w:rsidRPr="00343BDC">
        <w:rPr>
          <w:rFonts w:cs="Arial"/>
          <w:color w:val="0F0F0F"/>
          <w:shd w:val="clear" w:color="auto" w:fill="FFFFFF"/>
        </w:rPr>
        <w:t>rovision of pharmaceutical information about CTEP IND agents</w:t>
      </w:r>
    </w:p>
    <w:p w14:paraId="2B9E578E" w14:textId="32BE64A2" w:rsidR="008D0B7A" w:rsidRPr="00343BDC" w:rsidRDefault="00612419" w:rsidP="00612419">
      <w:pPr>
        <w:pStyle w:val="NoSpacing"/>
        <w:numPr>
          <w:ilvl w:val="0"/>
          <w:numId w:val="15"/>
        </w:numPr>
        <w:rPr>
          <w:i/>
          <w:color w:val="FF0000"/>
        </w:rPr>
      </w:pPr>
      <w:r w:rsidRPr="00343BDC">
        <w:rPr>
          <w:rFonts w:cs="Arial"/>
          <w:color w:val="0F0F0F"/>
          <w:shd w:val="clear" w:color="auto" w:fill="FFFFFF"/>
        </w:rPr>
        <w:t>R</w:t>
      </w:r>
      <w:r w:rsidR="008D0B7A" w:rsidRPr="00343BDC">
        <w:rPr>
          <w:rFonts w:cs="Arial"/>
          <w:color w:val="0F0F0F"/>
          <w:shd w:val="clear" w:color="auto" w:fill="FFFFFF"/>
        </w:rPr>
        <w:t>egistration of all investigators and associates participating in CTEP clinical trials and the maintenance of all registration records</w:t>
      </w:r>
    </w:p>
    <w:p w14:paraId="3DF7E694" w14:textId="7A4203AC" w:rsidR="008D0B7A" w:rsidRPr="00343BDC" w:rsidRDefault="00612419" w:rsidP="00612419">
      <w:pPr>
        <w:pStyle w:val="NoSpacing"/>
        <w:numPr>
          <w:ilvl w:val="0"/>
          <w:numId w:val="15"/>
        </w:numPr>
        <w:rPr>
          <w:i/>
          <w:color w:val="FF0000"/>
        </w:rPr>
      </w:pPr>
      <w:r w:rsidRPr="00343BDC">
        <w:rPr>
          <w:rFonts w:cs="Arial"/>
          <w:color w:val="0F0F0F"/>
          <w:shd w:val="clear" w:color="auto" w:fill="FFFFFF"/>
        </w:rPr>
        <w:t>A</w:t>
      </w:r>
      <w:r w:rsidR="008D0B7A" w:rsidRPr="00343BDC">
        <w:rPr>
          <w:rFonts w:cs="Arial"/>
          <w:color w:val="0F0F0F"/>
          <w:shd w:val="clear" w:color="auto" w:fill="FFFFFF"/>
        </w:rPr>
        <w:t xml:space="preserve"> Treatment Referral Center (TRC) for handling special CTEP clinical agent initiatives, referrals to high priority clinical trials and the coordination, authorization, and processing of all requests for Special Exception and Treatment Referral Center protocol agent use</w:t>
      </w:r>
    </w:p>
    <w:p w14:paraId="5A219C86" w14:textId="307B9CCF" w:rsidR="008D0B7A" w:rsidRPr="00343BDC" w:rsidRDefault="00612419" w:rsidP="00612419">
      <w:pPr>
        <w:numPr>
          <w:ilvl w:val="0"/>
          <w:numId w:val="15"/>
        </w:numPr>
        <w:shd w:val="clear" w:color="auto" w:fill="FFFFFF"/>
        <w:spacing w:after="180" w:line="270" w:lineRule="atLeast"/>
        <w:textAlignment w:val="baseline"/>
        <w:rPr>
          <w:rFonts w:eastAsia="Times New Roman" w:cs="Arial"/>
          <w:color w:val="0F0F0F"/>
        </w:rPr>
      </w:pPr>
      <w:r w:rsidRPr="00343BDC">
        <w:rPr>
          <w:rFonts w:eastAsia="Times New Roman" w:cs="Arial"/>
          <w:color w:val="0F0F0F"/>
        </w:rPr>
        <w:t>A</w:t>
      </w:r>
      <w:r w:rsidR="008D0B7A" w:rsidRPr="00343BDC">
        <w:rPr>
          <w:rFonts w:eastAsia="Times New Roman" w:cs="Arial"/>
          <w:color w:val="0F0F0F"/>
        </w:rPr>
        <w:t>uthorization and distribution of all CTEP-sponsored Investigational New Drug (IND) agents to eligible investigators</w:t>
      </w:r>
    </w:p>
    <w:p w14:paraId="59F09063" w14:textId="3340BC97" w:rsidR="008D0B7A" w:rsidRPr="00343BDC" w:rsidRDefault="00612419" w:rsidP="00612419">
      <w:pPr>
        <w:numPr>
          <w:ilvl w:val="0"/>
          <w:numId w:val="15"/>
        </w:numPr>
        <w:shd w:val="clear" w:color="auto" w:fill="FFFFFF"/>
        <w:spacing w:after="180" w:line="270" w:lineRule="atLeast"/>
        <w:textAlignment w:val="baseline"/>
        <w:rPr>
          <w:rFonts w:eastAsia="Times New Roman" w:cs="Arial"/>
          <w:color w:val="0F0F0F"/>
        </w:rPr>
      </w:pPr>
      <w:r w:rsidRPr="00343BDC">
        <w:rPr>
          <w:rFonts w:eastAsia="Times New Roman" w:cs="Arial"/>
          <w:color w:val="0F0F0F"/>
        </w:rPr>
        <w:t>P</w:t>
      </w:r>
      <w:r w:rsidR="008D0B7A" w:rsidRPr="00343BDC">
        <w:rPr>
          <w:rFonts w:eastAsia="Times New Roman" w:cs="Arial"/>
          <w:color w:val="0F0F0F"/>
        </w:rPr>
        <w:t>rovision of agent forecasting, agent acquisition, and inventory management of all IND agents distributed by CTEP for clinical trials</w:t>
      </w:r>
    </w:p>
    <w:p w14:paraId="3296F2E8" w14:textId="08E2FF89" w:rsidR="008D0B7A" w:rsidRPr="00343BDC" w:rsidRDefault="00612419" w:rsidP="00612419">
      <w:pPr>
        <w:numPr>
          <w:ilvl w:val="0"/>
          <w:numId w:val="15"/>
        </w:numPr>
        <w:shd w:val="clear" w:color="auto" w:fill="FFFFFF"/>
        <w:spacing w:after="180" w:line="270" w:lineRule="atLeast"/>
        <w:textAlignment w:val="baseline"/>
        <w:rPr>
          <w:rFonts w:eastAsia="Times New Roman" w:cs="Arial"/>
          <w:color w:val="0F0F0F"/>
        </w:rPr>
      </w:pPr>
      <w:r w:rsidRPr="00343BDC">
        <w:rPr>
          <w:rFonts w:eastAsia="Times New Roman" w:cs="Arial"/>
          <w:color w:val="0F0F0F"/>
        </w:rPr>
        <w:t>P</w:t>
      </w:r>
      <w:r w:rsidR="008D0B7A" w:rsidRPr="00343BDC">
        <w:rPr>
          <w:rFonts w:eastAsia="Times New Roman" w:cs="Arial"/>
          <w:color w:val="0F0F0F"/>
        </w:rPr>
        <w:t>rovision and management of high priority double blind, randomized clinical trials</w:t>
      </w:r>
    </w:p>
    <w:p w14:paraId="1F4F5B14" w14:textId="38703127" w:rsidR="008D0B7A" w:rsidRPr="00343BDC" w:rsidRDefault="00612419" w:rsidP="00612419">
      <w:pPr>
        <w:numPr>
          <w:ilvl w:val="0"/>
          <w:numId w:val="15"/>
        </w:numPr>
        <w:shd w:val="clear" w:color="auto" w:fill="FFFFFF"/>
        <w:spacing w:after="180" w:line="270" w:lineRule="atLeast"/>
        <w:textAlignment w:val="baseline"/>
        <w:rPr>
          <w:rFonts w:eastAsia="Times New Roman" w:cs="Arial"/>
          <w:color w:val="0F0F0F"/>
        </w:rPr>
      </w:pPr>
      <w:r w:rsidRPr="00343BDC">
        <w:rPr>
          <w:rFonts w:eastAsia="Times New Roman" w:cs="Arial"/>
          <w:color w:val="0F0F0F"/>
        </w:rPr>
        <w:t>D</w:t>
      </w:r>
      <w:r w:rsidR="008D0B7A" w:rsidRPr="00343BDC">
        <w:rPr>
          <w:rFonts w:eastAsia="Times New Roman" w:cs="Arial"/>
          <w:color w:val="0F0F0F"/>
        </w:rPr>
        <w:t>istribution of agents to investigators for non-human (preclinical) use</w:t>
      </w:r>
    </w:p>
    <w:p w14:paraId="65D06C7D" w14:textId="07DEDAC5" w:rsidR="009A0EA7" w:rsidRPr="00343BDC" w:rsidRDefault="009A0EA7" w:rsidP="00612419">
      <w:pPr>
        <w:numPr>
          <w:ilvl w:val="0"/>
          <w:numId w:val="15"/>
        </w:numPr>
        <w:shd w:val="clear" w:color="auto" w:fill="FFFFFF"/>
        <w:spacing w:after="180" w:line="270" w:lineRule="atLeast"/>
        <w:textAlignment w:val="baseline"/>
        <w:rPr>
          <w:rFonts w:eastAsia="Times New Roman" w:cs="Arial"/>
          <w:color w:val="0F0F0F"/>
        </w:rPr>
      </w:pPr>
      <w:r w:rsidRPr="00343BDC">
        <w:rPr>
          <w:rFonts w:eastAsia="Times New Roman" w:cs="Arial"/>
          <w:color w:val="0F0F0F"/>
        </w:rPr>
        <w:t>Additional details on each of the above items is in the provided link at the bottom in the reference section</w:t>
      </w:r>
    </w:p>
    <w:p w14:paraId="3702A4C8" w14:textId="77777777" w:rsidR="00EF2166" w:rsidRPr="00343BDC" w:rsidRDefault="00EF2166" w:rsidP="0087379E">
      <w:pPr>
        <w:pStyle w:val="NoSpacing"/>
      </w:pPr>
    </w:p>
    <w:p w14:paraId="039BE76A" w14:textId="0A0F4A14" w:rsidR="005C44DC" w:rsidRPr="00BE0C28" w:rsidRDefault="00EF2166" w:rsidP="003C302E">
      <w:pPr>
        <w:pStyle w:val="NoSpacing"/>
        <w:rPr>
          <w:b/>
          <w:u w:val="single"/>
        </w:rPr>
      </w:pPr>
      <w:r w:rsidRPr="00BE0C28">
        <w:rPr>
          <w:b/>
          <w:u w:val="single"/>
        </w:rPr>
        <w:t>PROCEDURES</w:t>
      </w:r>
      <w:r w:rsidR="009A0EA7" w:rsidRPr="00BE0C28">
        <w:rPr>
          <w:b/>
          <w:u w:val="single"/>
        </w:rPr>
        <w:t>:</w:t>
      </w:r>
    </w:p>
    <w:p w14:paraId="0799A06F" w14:textId="77777777" w:rsidR="003C302E" w:rsidRPr="00343BDC" w:rsidRDefault="003C302E" w:rsidP="003C302E">
      <w:pPr>
        <w:pStyle w:val="NoSpacing"/>
        <w:rPr>
          <w:b/>
        </w:rPr>
      </w:pPr>
    </w:p>
    <w:p w14:paraId="400763D2" w14:textId="6CC3E3AB" w:rsidR="006632DB" w:rsidRPr="00343BDC" w:rsidRDefault="006632DB" w:rsidP="006632DB">
      <w:pPr>
        <w:pStyle w:val="NoSpacing"/>
        <w:numPr>
          <w:ilvl w:val="0"/>
          <w:numId w:val="14"/>
        </w:numPr>
        <w:rPr>
          <w:rFonts w:cs="Arial"/>
        </w:rPr>
      </w:pPr>
      <w:r w:rsidRPr="00343BDC">
        <w:rPr>
          <w:rFonts w:cs="Arial"/>
        </w:rPr>
        <w:t>Each site is responsible for adherence with NCI/DCTD/CTEP requirements for storage and accounting for investigational agents, including complying with NCI/DHHS Drug Accountability Records (DAR) procedures as described in the DCTD Investigators' Handbook.</w:t>
      </w:r>
    </w:p>
    <w:p w14:paraId="6006B817" w14:textId="77777777" w:rsidR="00011792" w:rsidRPr="00343BDC" w:rsidRDefault="00011792" w:rsidP="00011792">
      <w:pPr>
        <w:pStyle w:val="NoSpacing"/>
        <w:ind w:left="720"/>
        <w:rPr>
          <w:rFonts w:cs="Arial"/>
        </w:rPr>
      </w:pPr>
    </w:p>
    <w:p w14:paraId="7CD12384" w14:textId="26CAEDE4" w:rsidR="00011792" w:rsidRPr="00343BDC" w:rsidRDefault="005C44DC" w:rsidP="005C44DC">
      <w:pPr>
        <w:pStyle w:val="NoSpacing"/>
        <w:numPr>
          <w:ilvl w:val="0"/>
          <w:numId w:val="14"/>
        </w:numPr>
        <w:rPr>
          <w:rFonts w:cs="Arial"/>
        </w:rPr>
      </w:pPr>
      <w:r w:rsidRPr="00343BDC">
        <w:rPr>
          <w:rFonts w:cs="Arial"/>
        </w:rPr>
        <w:t>The PMB Investigational Drug Accountability Training Videos will be viewed</w:t>
      </w:r>
      <w:r w:rsidR="000C069C" w:rsidRPr="00343BDC">
        <w:rPr>
          <w:rFonts w:cs="Arial"/>
        </w:rPr>
        <w:t xml:space="preserve"> annually</w:t>
      </w:r>
      <w:r w:rsidR="00612419" w:rsidRPr="00343BDC">
        <w:rPr>
          <w:rFonts w:cs="Arial"/>
        </w:rPr>
        <w:t xml:space="preserve"> by research staff delegated to perform any task associated with the ordering, receipt,</w:t>
      </w:r>
      <w:r w:rsidR="00011792" w:rsidRPr="00343BDC">
        <w:rPr>
          <w:rFonts w:cs="Arial"/>
        </w:rPr>
        <w:t xml:space="preserve"> </w:t>
      </w:r>
      <w:r w:rsidR="00612419" w:rsidRPr="00343BDC">
        <w:rPr>
          <w:rFonts w:cs="Arial"/>
        </w:rPr>
        <w:t>dispensing of study provided agents</w:t>
      </w:r>
      <w:r w:rsidR="000C069C" w:rsidRPr="00343BDC">
        <w:rPr>
          <w:rFonts w:cs="Arial"/>
        </w:rPr>
        <w:t>, or drug accountability log completion</w:t>
      </w:r>
    </w:p>
    <w:p w14:paraId="70526D60" w14:textId="0C571ADF" w:rsidR="003C302E" w:rsidRPr="00343BDC" w:rsidRDefault="003C302E" w:rsidP="00011792">
      <w:pPr>
        <w:pStyle w:val="NoSpacing"/>
        <w:ind w:left="720"/>
        <w:rPr>
          <w:rFonts w:cs="Arial"/>
        </w:rPr>
      </w:pPr>
    </w:p>
    <w:p w14:paraId="58972930" w14:textId="32B7671D" w:rsidR="00011792" w:rsidRPr="00343BDC" w:rsidRDefault="00D27CA2" w:rsidP="006632DB">
      <w:pPr>
        <w:pStyle w:val="NoSpacing"/>
        <w:numPr>
          <w:ilvl w:val="0"/>
          <w:numId w:val="14"/>
        </w:numPr>
        <w:rPr>
          <w:rFonts w:cs="Arial"/>
        </w:rPr>
      </w:pPr>
      <w:r>
        <w:rPr>
          <w:rFonts w:cs="Arial"/>
        </w:rPr>
        <w:lastRenderedPageBreak/>
        <w:t>Dates of completion are to be</w:t>
      </w:r>
      <w:r w:rsidR="005C44DC" w:rsidRPr="00343BDC">
        <w:rPr>
          <w:rFonts w:cs="Arial"/>
        </w:rPr>
        <w:t xml:space="preserve"> maintained by each </w:t>
      </w:r>
      <w:r w:rsidR="003C302E" w:rsidRPr="00343BDC">
        <w:rPr>
          <w:rFonts w:cs="Arial"/>
        </w:rPr>
        <w:t xml:space="preserve">affiliate and sub-affiliate </w:t>
      </w:r>
      <w:r w:rsidR="005C44DC" w:rsidRPr="00343BDC">
        <w:rPr>
          <w:rFonts w:cs="Arial"/>
        </w:rPr>
        <w:t xml:space="preserve">site and made available </w:t>
      </w:r>
      <w:r w:rsidR="006632DB" w:rsidRPr="00343BDC">
        <w:rPr>
          <w:rFonts w:cs="Arial"/>
        </w:rPr>
        <w:t>as</w:t>
      </w:r>
      <w:r w:rsidR="005C44DC" w:rsidRPr="00343BDC">
        <w:rPr>
          <w:rFonts w:cs="Arial"/>
        </w:rPr>
        <w:t xml:space="preserve"> requested during site </w:t>
      </w:r>
      <w:r w:rsidR="003C302E" w:rsidRPr="00343BDC">
        <w:rPr>
          <w:rFonts w:cs="Arial"/>
        </w:rPr>
        <w:t xml:space="preserve">monitoring </w:t>
      </w:r>
      <w:r w:rsidR="005C44DC" w:rsidRPr="00343BDC">
        <w:rPr>
          <w:rFonts w:cs="Arial"/>
        </w:rPr>
        <w:t>visits by the QA Coordinator</w:t>
      </w:r>
      <w:r w:rsidR="006632DB" w:rsidRPr="00343BDC">
        <w:rPr>
          <w:rFonts w:cs="Arial"/>
        </w:rPr>
        <w:t>.</w:t>
      </w:r>
    </w:p>
    <w:p w14:paraId="489DB2BC" w14:textId="68225761" w:rsidR="00612419" w:rsidRPr="00343BDC" w:rsidRDefault="00612419" w:rsidP="00011792">
      <w:pPr>
        <w:pStyle w:val="NoSpacing"/>
        <w:ind w:left="720"/>
        <w:rPr>
          <w:rFonts w:cs="Arial"/>
        </w:rPr>
      </w:pPr>
    </w:p>
    <w:p w14:paraId="6E7113FA" w14:textId="01876A4B" w:rsidR="008D0B7A" w:rsidRPr="00343BDC" w:rsidRDefault="00576AC1" w:rsidP="00576AC1">
      <w:pPr>
        <w:spacing w:after="0" w:line="240" w:lineRule="auto"/>
        <w:rPr>
          <w:rFonts w:cs="Arial"/>
        </w:rPr>
      </w:pPr>
      <w:r w:rsidRPr="00343BDC">
        <w:t xml:space="preserve">       </w:t>
      </w:r>
      <w:r w:rsidRPr="00343BDC">
        <w:rPr>
          <w:rFonts w:cs="Arial"/>
        </w:rPr>
        <w:t xml:space="preserve">4. </w:t>
      </w:r>
      <w:r w:rsidRPr="00343BDC">
        <w:rPr>
          <w:rFonts w:cs="Arial"/>
        </w:rPr>
        <w:tab/>
        <w:t>The UC NCORP QA coordinator will review for adherence to PMB requirements during monitoring visits</w:t>
      </w:r>
    </w:p>
    <w:p w14:paraId="348AC9B0" w14:textId="00525F9A" w:rsidR="00EF2166" w:rsidRPr="00343BDC" w:rsidRDefault="00EF2166" w:rsidP="005512B7">
      <w:pPr>
        <w:spacing w:after="0" w:line="240" w:lineRule="auto"/>
      </w:pPr>
    </w:p>
    <w:p w14:paraId="732A4579" w14:textId="6AFFEE95" w:rsidR="00EF2166" w:rsidRPr="00343BDC" w:rsidRDefault="00EF2166" w:rsidP="005512B7">
      <w:pPr>
        <w:spacing w:after="0" w:line="240" w:lineRule="auto"/>
      </w:pPr>
    </w:p>
    <w:p w14:paraId="7770C994" w14:textId="16123C35" w:rsidR="00EF2166" w:rsidRPr="00343BDC" w:rsidRDefault="00EF2166" w:rsidP="005512B7">
      <w:pPr>
        <w:spacing w:after="0" w:line="240" w:lineRule="auto"/>
      </w:pPr>
    </w:p>
    <w:p w14:paraId="549C7347" w14:textId="4CA888F2" w:rsidR="00EF2166" w:rsidRPr="00343BDC" w:rsidRDefault="00EF2166" w:rsidP="005512B7">
      <w:pPr>
        <w:spacing w:after="0" w:line="240" w:lineRule="auto"/>
      </w:pPr>
    </w:p>
    <w:p w14:paraId="789A7FC1" w14:textId="77777777" w:rsidR="00EF2166" w:rsidRPr="00343BDC" w:rsidRDefault="00EF2166" w:rsidP="005512B7">
      <w:pPr>
        <w:spacing w:after="0" w:line="240" w:lineRule="auto"/>
      </w:pPr>
    </w:p>
    <w:p w14:paraId="3ED00972" w14:textId="77777777" w:rsidR="00EF2166" w:rsidRPr="00343BDC" w:rsidRDefault="00EF2166" w:rsidP="005512B7">
      <w:pPr>
        <w:spacing w:after="0" w:line="240" w:lineRule="auto"/>
      </w:pPr>
    </w:p>
    <w:p w14:paraId="7BD699E6" w14:textId="77777777" w:rsidR="004F0F52" w:rsidRPr="00BE0C28" w:rsidRDefault="00E0691E" w:rsidP="00D453A5">
      <w:pPr>
        <w:pStyle w:val="NoSpacing"/>
        <w:rPr>
          <w:b/>
          <w:u w:val="single"/>
        </w:rPr>
      </w:pPr>
      <w:r w:rsidRPr="00BE0C28">
        <w:rPr>
          <w:b/>
          <w:u w:val="single"/>
        </w:rPr>
        <w:t xml:space="preserve">REFERENCE: </w:t>
      </w:r>
    </w:p>
    <w:commentRangeStart w:id="0"/>
    <w:p w14:paraId="11E52254" w14:textId="5B4273F9" w:rsidR="00E0691E" w:rsidRPr="00343BDC" w:rsidRDefault="000C069C" w:rsidP="00D453A5">
      <w:pPr>
        <w:pStyle w:val="NoSpacing"/>
        <w:rPr>
          <w:b/>
          <w:i/>
          <w:color w:val="FF0000"/>
        </w:rPr>
      </w:pPr>
      <w:r w:rsidRPr="00343BDC">
        <w:fldChar w:fldCharType="begin"/>
      </w:r>
      <w:r w:rsidRPr="00343BDC">
        <w:instrText xml:space="preserve"> HYPERLINK "https://ctep.cancer.gov/branches/pmb/default.htm" </w:instrText>
      </w:r>
      <w:r w:rsidRPr="00343BDC">
        <w:fldChar w:fldCharType="separate"/>
      </w:r>
      <w:r w:rsidR="00516CB0" w:rsidRPr="00343BDC">
        <w:rPr>
          <w:color w:val="0000FF"/>
          <w:u w:val="single"/>
        </w:rPr>
        <w:t>https://ctep.cancer.gov/branches/pmb/default.htm</w:t>
      </w:r>
      <w:r w:rsidRPr="00343BDC">
        <w:rPr>
          <w:color w:val="0000FF"/>
          <w:u w:val="single"/>
        </w:rPr>
        <w:fldChar w:fldCharType="end"/>
      </w:r>
      <w:commentRangeEnd w:id="0"/>
      <w:r w:rsidRPr="00343BDC">
        <w:rPr>
          <w:rStyle w:val="CommentReference"/>
          <w:sz w:val="22"/>
          <w:szCs w:val="22"/>
        </w:rPr>
        <w:commentReference w:id="0"/>
      </w:r>
    </w:p>
    <w:p w14:paraId="5340551A" w14:textId="77777777" w:rsidR="00EF2166" w:rsidRPr="00343BDC" w:rsidRDefault="00EF2166" w:rsidP="00D453A5">
      <w:pPr>
        <w:pStyle w:val="NoSpacing"/>
        <w:rPr>
          <w:b/>
        </w:rPr>
      </w:pPr>
    </w:p>
    <w:p w14:paraId="7B7BA587" w14:textId="7469977A" w:rsidR="008B4B1B" w:rsidRPr="00BE0C28" w:rsidRDefault="008B4B1B" w:rsidP="00D453A5">
      <w:pPr>
        <w:pStyle w:val="NoSpacing"/>
        <w:rPr>
          <w:b/>
          <w:u w:val="single"/>
        </w:rPr>
      </w:pPr>
      <w:r w:rsidRPr="00BE0C28">
        <w:rPr>
          <w:b/>
          <w:u w:val="single"/>
        </w:rPr>
        <w:t xml:space="preserve">ASSOCIATED FORMS:  </w:t>
      </w:r>
    </w:p>
    <w:p w14:paraId="518A1923" w14:textId="7AA2683B" w:rsidR="008B4B1B" w:rsidRPr="00343BDC" w:rsidRDefault="00BE0C28" w:rsidP="00D453A5">
      <w:pPr>
        <w:pStyle w:val="NoSpacing"/>
        <w:rPr>
          <w:i/>
          <w:color w:val="FF0000"/>
        </w:rPr>
      </w:pPr>
      <w:r>
        <w:rPr>
          <w:i/>
          <w:color w:val="FF0000"/>
        </w:rPr>
        <w:t xml:space="preserve">Notice: </w:t>
      </w:r>
      <w:r w:rsidR="00576AC1" w:rsidRPr="00343BDC">
        <w:rPr>
          <w:i/>
          <w:color w:val="FF0000"/>
        </w:rPr>
        <w:t>To assure the most current forms are in use all PMB forms will be accessed from the website above noted under the heading “CTEP Forms, Templates and Documents”</w:t>
      </w:r>
    </w:p>
    <w:p w14:paraId="15E17366" w14:textId="77777777" w:rsidR="00D453A5" w:rsidRPr="00343BDC" w:rsidRDefault="00D453A5" w:rsidP="00D453A5">
      <w:pPr>
        <w:pStyle w:val="NoSpacing"/>
        <w:rPr>
          <w:i/>
          <w:color w:val="FF0000"/>
        </w:rPr>
      </w:pPr>
    </w:p>
    <w:p w14:paraId="39F33F8A" w14:textId="77777777" w:rsidR="008B4B1B" w:rsidRPr="00BE0C28" w:rsidRDefault="008B4B1B" w:rsidP="00D453A5">
      <w:pPr>
        <w:pStyle w:val="NoSpacing"/>
        <w:rPr>
          <w:b/>
          <w:u w:val="single"/>
        </w:rPr>
      </w:pPr>
      <w:r w:rsidRPr="00BE0C28">
        <w:rPr>
          <w:b/>
          <w:u w:val="single"/>
        </w:rPr>
        <w:t xml:space="preserve">COMMITTEE APPROVAL:  </w:t>
      </w:r>
    </w:p>
    <w:p w14:paraId="43D95338" w14:textId="3D2A740D" w:rsidR="008B4B1B" w:rsidRPr="00343BDC" w:rsidRDefault="00AC3FCE" w:rsidP="00D453A5">
      <w:pPr>
        <w:pStyle w:val="NoSpacing"/>
      </w:pPr>
      <w:r w:rsidRPr="00343BDC">
        <w:t xml:space="preserve">UC </w:t>
      </w:r>
      <w:r w:rsidR="008B4B1B" w:rsidRPr="00343BDC">
        <w:t xml:space="preserve">Policy </w:t>
      </w:r>
      <w:r w:rsidR="00087594" w:rsidRPr="00343BDC">
        <w:t>and</w:t>
      </w:r>
      <w:r w:rsidR="008B4B1B" w:rsidRPr="00343BDC">
        <w:t xml:space="preserve"> Procedure Committee</w:t>
      </w:r>
    </w:p>
    <w:p w14:paraId="035A6D21" w14:textId="77777777" w:rsidR="00741859" w:rsidRPr="00343BDC" w:rsidRDefault="00741859">
      <w:bookmarkStart w:id="1" w:name="_GoBack"/>
      <w:bookmarkEnd w:id="1"/>
    </w:p>
    <w:p w14:paraId="288FFAC1" w14:textId="77777777" w:rsidR="005E1E7A" w:rsidRDefault="005E1E7A"/>
    <w:sectPr w:rsidR="005E1E7A" w:rsidSect="00E0691E">
      <w:headerReference w:type="default"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ridges, Kelsey" w:date="2019-07-16T16:56:00Z" w:initials="BK">
    <w:p w14:paraId="03E61D2A" w14:textId="499F20AE" w:rsidR="000C069C" w:rsidRDefault="000C069C">
      <w:pPr>
        <w:pStyle w:val="CommentText"/>
      </w:pPr>
      <w:r>
        <w:rPr>
          <w:rStyle w:val="CommentReference"/>
        </w:rPr>
        <w:annotationRef/>
      </w:r>
      <w:r>
        <w:t xml:space="preserve">Should we list DCTD investigators handbook you reference?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E61D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E61D2A" w16cid:durableId="21CB26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69F7C" w14:textId="77777777" w:rsidR="00D302A1" w:rsidRDefault="00D302A1" w:rsidP="005D48B1">
      <w:pPr>
        <w:spacing w:after="0" w:line="240" w:lineRule="auto"/>
      </w:pPr>
      <w:r>
        <w:separator/>
      </w:r>
    </w:p>
  </w:endnote>
  <w:endnote w:type="continuationSeparator" w:id="0">
    <w:p w14:paraId="0482AA62" w14:textId="77777777" w:rsidR="00D302A1" w:rsidRDefault="00D302A1"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5AAE31E0"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27CA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7CA2">
              <w:rPr>
                <w:b/>
                <w:bCs/>
                <w:noProof/>
              </w:rPr>
              <w:t>2</w:t>
            </w:r>
            <w:r>
              <w:rPr>
                <w:b/>
                <w:bCs/>
                <w:sz w:val="24"/>
                <w:szCs w:val="24"/>
              </w:rPr>
              <w:fldChar w:fldCharType="end"/>
            </w:r>
          </w:p>
        </w:sdtContent>
      </w:sdt>
    </w:sdtContent>
  </w:sdt>
  <w:p w14:paraId="1ABBC8DE" w14:textId="77777777" w:rsidR="00741859" w:rsidRDefault="00741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13F1DAD3" w:rsidR="00D23BC4" w:rsidRDefault="00D23BC4">
        <w:pPr>
          <w:pStyle w:val="Footer"/>
          <w:jc w:val="center"/>
        </w:pPr>
        <w:r>
          <w:fldChar w:fldCharType="begin"/>
        </w:r>
        <w:r>
          <w:instrText xml:space="preserve"> PAGE   \* MERGEFORMAT </w:instrText>
        </w:r>
        <w:r>
          <w:fldChar w:fldCharType="separate"/>
        </w:r>
        <w:r w:rsidR="00D27CA2">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87C8C" w14:textId="77777777" w:rsidR="00D302A1" w:rsidRDefault="00D302A1" w:rsidP="005D48B1">
      <w:pPr>
        <w:spacing w:after="0" w:line="240" w:lineRule="auto"/>
      </w:pPr>
      <w:r>
        <w:separator/>
      </w:r>
    </w:p>
  </w:footnote>
  <w:footnote w:type="continuationSeparator" w:id="0">
    <w:p w14:paraId="5ACA5075" w14:textId="77777777" w:rsidR="00D302A1" w:rsidRDefault="00D302A1"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5148"/>
    </w:tblGrid>
    <w:tr w:rsidR="00741859" w:rsidRPr="00D767DA" w14:paraId="3494C8D2" w14:textId="77777777" w:rsidTr="00BE0C28">
      <w:trPr>
        <w:trHeight w:val="350"/>
      </w:trPr>
      <w:tc>
        <w:tcPr>
          <w:tcW w:w="4428" w:type="dxa"/>
          <w:vMerge w:val="restart"/>
          <w:shd w:val="clear" w:color="auto" w:fill="auto"/>
          <w:vAlign w:val="center"/>
        </w:tcPr>
        <w:p w14:paraId="11883C22" w14:textId="179B1DA4" w:rsidR="00741859" w:rsidRPr="00D767DA" w:rsidRDefault="009D7FC4" w:rsidP="00BE0C28">
          <w:pPr>
            <w:pStyle w:val="Header"/>
            <w:tabs>
              <w:tab w:val="clear" w:pos="4680"/>
              <w:tab w:val="clear" w:pos="9360"/>
              <w:tab w:val="left" w:pos="2820"/>
            </w:tabs>
            <w:jc w:val="center"/>
            <w:rPr>
              <w:rFonts w:ascii="Calibri" w:hAnsi="Calibri"/>
              <w:b/>
              <w:sz w:val="28"/>
            </w:rPr>
          </w:pPr>
          <w:r w:rsidRPr="00F969BE">
            <w:rPr>
              <w:rFonts w:ascii="Calibri" w:eastAsia="Times New Roman" w:hAnsi="Calibri" w:cs="Times New Roman"/>
              <w:noProof/>
              <w:sz w:val="18"/>
              <w:szCs w:val="24"/>
            </w:rPr>
            <w:drawing>
              <wp:inline distT="0" distB="0" distL="0" distR="0" wp14:anchorId="261F954C" wp14:editId="24AF46B3">
                <wp:extent cx="2560320" cy="827405"/>
                <wp:effectExtent l="0" t="0" r="0" b="0"/>
                <wp:docPr id="3"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tc>
      <w:tc>
        <w:tcPr>
          <w:tcW w:w="5148" w:type="dxa"/>
          <w:shd w:val="clear" w:color="auto" w:fill="auto"/>
        </w:tcPr>
        <w:p w14:paraId="3277AF81" w14:textId="73CA5D62" w:rsidR="00741859" w:rsidRPr="000B2F43" w:rsidRDefault="00741859" w:rsidP="00C86651">
          <w:pPr>
            <w:pStyle w:val="Header"/>
            <w:jc w:val="right"/>
            <w:rPr>
              <w:rFonts w:ascii="Calibri" w:hAnsi="Calibri"/>
              <w:sz w:val="28"/>
            </w:rPr>
          </w:pPr>
          <w:r w:rsidRPr="000B2F43">
            <w:rPr>
              <w:rFonts w:ascii="Calibri" w:hAnsi="Calibri"/>
            </w:rPr>
            <w:t>Policy #:</w:t>
          </w:r>
          <w:r w:rsidR="00C86651">
            <w:rPr>
              <w:rFonts w:ascii="Calibri" w:hAnsi="Calibri"/>
            </w:rPr>
            <w:t>6002</w:t>
          </w:r>
          <w:r w:rsidR="0087379E">
            <w:rPr>
              <w:rFonts w:ascii="Calibri" w:hAnsi="Calibri"/>
            </w:rPr>
            <w:t xml:space="preserve"> </w:t>
          </w:r>
        </w:p>
      </w:tc>
    </w:tr>
    <w:tr w:rsidR="00741859" w:rsidRPr="00D767DA" w14:paraId="65176760" w14:textId="77777777" w:rsidTr="00BE0C28">
      <w:trPr>
        <w:trHeight w:val="1070"/>
      </w:trPr>
      <w:tc>
        <w:tcPr>
          <w:tcW w:w="4428" w:type="dxa"/>
          <w:vMerge/>
          <w:shd w:val="clear" w:color="auto" w:fill="auto"/>
        </w:tcPr>
        <w:p w14:paraId="4AE8FBC7" w14:textId="77777777" w:rsidR="00741859" w:rsidRPr="00D767DA" w:rsidRDefault="00741859" w:rsidP="00E436A5">
          <w:pPr>
            <w:pStyle w:val="Header"/>
            <w:jc w:val="center"/>
            <w:rPr>
              <w:rFonts w:ascii="Calibri" w:hAnsi="Calibri"/>
            </w:rPr>
          </w:pPr>
        </w:p>
      </w:tc>
      <w:tc>
        <w:tcPr>
          <w:tcW w:w="5148" w:type="dxa"/>
          <w:shd w:val="clear" w:color="auto" w:fill="auto"/>
        </w:tcPr>
        <w:p w14:paraId="670FD2D0" w14:textId="548F8687" w:rsidR="00741859" w:rsidRPr="000B2F43" w:rsidRDefault="00741859" w:rsidP="00864D90">
          <w:pPr>
            <w:pStyle w:val="Header"/>
            <w:rPr>
              <w:rFonts w:ascii="Calibri" w:hAnsi="Calibri"/>
              <w:b/>
              <w:sz w:val="28"/>
              <w:szCs w:val="28"/>
            </w:rPr>
          </w:pPr>
          <w:r w:rsidRPr="000B2F43">
            <w:rPr>
              <w:rFonts w:ascii="Calibri" w:hAnsi="Calibri"/>
            </w:rPr>
            <w:t xml:space="preserve">Title:  </w:t>
          </w:r>
          <w:r w:rsidR="000B2F43">
            <w:rPr>
              <w:rFonts w:ascii="Calibri" w:hAnsi="Calibri"/>
            </w:rPr>
            <w:t xml:space="preserve"> </w:t>
          </w:r>
          <w:r w:rsidR="00C86651" w:rsidRPr="00BE0C28">
            <w:rPr>
              <w:rFonts w:ascii="Calibri" w:eastAsia="Times New Roman" w:hAnsi="Calibri" w:cs="Times New Roman"/>
              <w:b/>
            </w:rPr>
            <w:t>PMB Training</w:t>
          </w:r>
        </w:p>
      </w:tc>
    </w:tr>
  </w:tbl>
  <w:p w14:paraId="4DE5CAB4" w14:textId="77777777" w:rsidR="00741859" w:rsidRPr="00741859" w:rsidRDefault="00741859" w:rsidP="00741859">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610"/>
      <w:gridCol w:w="2751"/>
    </w:tblGrid>
    <w:tr w:rsidR="00B83FAC" w:rsidRPr="005D48B1" w14:paraId="316FE7EB" w14:textId="77777777" w:rsidTr="00E436A5">
      <w:trPr>
        <w:trHeight w:val="350"/>
      </w:trPr>
      <w:tc>
        <w:tcPr>
          <w:tcW w:w="4248" w:type="dxa"/>
          <w:vMerge w:val="restart"/>
          <w:shd w:val="clear" w:color="auto" w:fill="auto"/>
        </w:tcPr>
        <w:p w14:paraId="2A138A9A"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8"/>
              <w:szCs w:val="24"/>
            </w:rPr>
          </w:pPr>
        </w:p>
        <w:p w14:paraId="4AB90B23"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b/>
              <w:sz w:val="8"/>
              <w:szCs w:val="24"/>
            </w:rPr>
          </w:pPr>
        </w:p>
        <w:p w14:paraId="20B2B179" w14:textId="489849C3" w:rsidR="00B83FAC" w:rsidRPr="005D48B1" w:rsidRDefault="00E0691E" w:rsidP="00BE0C28">
          <w:pPr>
            <w:tabs>
              <w:tab w:val="center" w:pos="4320"/>
              <w:tab w:val="right" w:pos="8640"/>
            </w:tabs>
            <w:spacing w:after="0" w:line="240" w:lineRule="auto"/>
            <w:jc w:val="center"/>
            <w:rPr>
              <w:rFonts w:ascii="Calibri" w:eastAsia="Times New Roman" w:hAnsi="Calibri" w:cs="Times New Roman"/>
              <w:b/>
              <w:sz w:val="18"/>
              <w:szCs w:val="24"/>
            </w:rPr>
          </w:pPr>
          <w:r w:rsidRPr="00E0691E">
            <w:rPr>
              <w:rFonts w:ascii="Calibri" w:eastAsia="Times New Roman" w:hAnsi="Calibri" w:cs="Times New Roman"/>
              <w:b/>
              <w:noProof/>
              <w:sz w:val="8"/>
              <w:szCs w:val="24"/>
            </w:rPr>
            <w:drawing>
              <wp:anchor distT="0" distB="0" distL="114300" distR="114300" simplePos="0" relativeHeight="251659264" behindDoc="1" locked="0" layoutInCell="1" allowOverlap="1" wp14:anchorId="4FEE9F81" wp14:editId="497BEE4E">
                <wp:simplePos x="0" y="0"/>
                <wp:positionH relativeFrom="column">
                  <wp:posOffset>4445</wp:posOffset>
                </wp:positionH>
                <wp:positionV relativeFrom="paragraph">
                  <wp:posOffset>454</wp:posOffset>
                </wp:positionV>
                <wp:extent cx="2552700" cy="478497"/>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3396" t="9435" r="7541" b="15270"/>
                        <a:stretch/>
                      </pic:blipFill>
                      <pic:spPr bwMode="auto">
                        <a:xfrm>
                          <a:off x="0" y="0"/>
                          <a:ext cx="2552700" cy="4784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7FC4">
            <w:rPr>
              <w:rFonts w:ascii="Calibri" w:eastAsia="Times New Roman" w:hAnsi="Calibri" w:cs="Times New Roman"/>
              <w:b/>
              <w:noProof/>
              <w:sz w:val="8"/>
              <w:szCs w:val="24"/>
            </w:rPr>
            <w:drawing>
              <wp:inline distT="0" distB="0" distL="0" distR="0" wp14:anchorId="119B3BB7" wp14:editId="0C6C891A">
                <wp:extent cx="2560320" cy="829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0320" cy="829310"/>
                        </a:xfrm>
                        <a:prstGeom prst="rect">
                          <a:avLst/>
                        </a:prstGeom>
                        <a:noFill/>
                      </pic:spPr>
                    </pic:pic>
                  </a:graphicData>
                </a:graphic>
              </wp:inline>
            </w:drawing>
          </w:r>
        </w:p>
      </w:tc>
      <w:tc>
        <w:tcPr>
          <w:tcW w:w="5361" w:type="dxa"/>
          <w:gridSpan w:val="2"/>
          <w:shd w:val="clear" w:color="auto" w:fill="auto"/>
        </w:tcPr>
        <w:p w14:paraId="024F25F5" w14:textId="3625285E"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5D48B1" w14:paraId="022416F6" w14:textId="77777777" w:rsidTr="00E436A5">
      <w:trPr>
        <w:trHeight w:val="350"/>
      </w:trPr>
      <w:tc>
        <w:tcPr>
          <w:tcW w:w="4248"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361" w:type="dxa"/>
          <w:gridSpan w:val="2"/>
          <w:shd w:val="clear" w:color="auto" w:fill="auto"/>
        </w:tcPr>
        <w:p w14:paraId="651F704D" w14:textId="361F3AFA" w:rsidR="00B83FAC" w:rsidRPr="00B83FAC" w:rsidRDefault="00B83FAC" w:rsidP="00EF2166">
          <w:pPr>
            <w:tabs>
              <w:tab w:val="center" w:pos="4320"/>
              <w:tab w:val="right" w:pos="8640"/>
            </w:tabs>
            <w:spacing w:after="0" w:line="240" w:lineRule="auto"/>
            <w:rPr>
              <w:rFonts w:ascii="Calibri" w:eastAsia="Times New Roman" w:hAnsi="Calibri" w:cs="Times New Roman"/>
              <w:b/>
              <w:sz w:val="28"/>
              <w:szCs w:val="28"/>
            </w:rPr>
          </w:pPr>
          <w:r w:rsidRPr="00B83FAC">
            <w:rPr>
              <w:rFonts w:ascii="Calibri" w:eastAsia="Times New Roman" w:hAnsi="Calibri" w:cs="Times New Roman"/>
              <w:sz w:val="24"/>
              <w:szCs w:val="24"/>
            </w:rPr>
            <w:t>Title:</w:t>
          </w:r>
          <w:r w:rsidRPr="00B83FAC">
            <w:rPr>
              <w:rFonts w:ascii="Calibri" w:eastAsia="Times New Roman" w:hAnsi="Calibri" w:cs="Times New Roman"/>
            </w:rPr>
            <w:t xml:space="preserve">  </w:t>
          </w:r>
          <w:r w:rsidR="00864D90" w:rsidRPr="00BE0C28">
            <w:rPr>
              <w:rFonts w:ascii="Calibri" w:eastAsia="Times New Roman" w:hAnsi="Calibri" w:cs="Times New Roman"/>
              <w:b/>
              <w:sz w:val="28"/>
            </w:rPr>
            <w:t>PMB Training</w:t>
          </w:r>
          <w:r w:rsidR="000B2F43" w:rsidRPr="00BE0C28">
            <w:rPr>
              <w:rFonts w:ascii="Calibri" w:eastAsia="Times New Roman" w:hAnsi="Calibri" w:cs="Times New Roman"/>
              <w:b/>
              <w:sz w:val="36"/>
              <w:szCs w:val="28"/>
            </w:rPr>
            <w:t xml:space="preserve"> </w:t>
          </w:r>
        </w:p>
      </w:tc>
    </w:tr>
    <w:tr w:rsidR="00B83FAC" w:rsidRPr="005D48B1" w14:paraId="5F96F94E" w14:textId="77777777" w:rsidTr="00E436A5">
      <w:trPr>
        <w:trHeight w:val="440"/>
      </w:trPr>
      <w:tc>
        <w:tcPr>
          <w:tcW w:w="4248"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610" w:type="dxa"/>
          <w:shd w:val="clear" w:color="auto" w:fill="auto"/>
        </w:tcPr>
        <w:p w14:paraId="19BF3D15" w14:textId="77777777" w:rsidR="0087379E" w:rsidRPr="00BE0C28" w:rsidRDefault="00B83FAC" w:rsidP="00E436A5">
          <w:pPr>
            <w:tabs>
              <w:tab w:val="center" w:pos="4320"/>
              <w:tab w:val="right" w:pos="8640"/>
            </w:tabs>
            <w:spacing w:after="0" w:line="240" w:lineRule="auto"/>
            <w:rPr>
              <w:rFonts w:ascii="Calibri" w:eastAsia="Times New Roman" w:hAnsi="Calibri" w:cs="Times New Roman"/>
              <w:sz w:val="24"/>
              <w:szCs w:val="24"/>
            </w:rPr>
          </w:pPr>
          <w:r w:rsidRPr="00BE0C28">
            <w:rPr>
              <w:rFonts w:ascii="Calibri" w:eastAsia="Times New Roman" w:hAnsi="Calibri" w:cs="Times New Roman"/>
              <w:sz w:val="24"/>
              <w:szCs w:val="24"/>
            </w:rPr>
            <w:t xml:space="preserve">Policy Effective Date: </w:t>
          </w:r>
        </w:p>
        <w:p w14:paraId="16860A99" w14:textId="79132D90" w:rsidR="00B83FAC" w:rsidRPr="00B83FAC" w:rsidRDefault="00864D90" w:rsidP="00E436A5">
          <w:pPr>
            <w:tabs>
              <w:tab w:val="center" w:pos="4320"/>
              <w:tab w:val="right" w:pos="8640"/>
            </w:tabs>
            <w:spacing w:after="0" w:line="240" w:lineRule="auto"/>
            <w:rPr>
              <w:rFonts w:ascii="Calibri" w:eastAsia="Times New Roman" w:hAnsi="Calibri" w:cs="Times New Roman"/>
              <w:sz w:val="24"/>
              <w:szCs w:val="24"/>
            </w:rPr>
          </w:pPr>
          <w:r w:rsidRPr="00BE0C28">
            <w:rPr>
              <w:rFonts w:ascii="Calibri" w:eastAsia="Times New Roman" w:hAnsi="Calibri" w:cs="Times New Roman"/>
              <w:sz w:val="24"/>
              <w:szCs w:val="24"/>
            </w:rPr>
            <w:t>08/01/2019</w:t>
          </w:r>
          <w:r w:rsidR="00B83FAC" w:rsidRPr="00BE0C28">
            <w:rPr>
              <w:rFonts w:ascii="Calibri" w:eastAsia="Times New Roman" w:hAnsi="Calibri" w:cs="Times New Roman"/>
              <w:sz w:val="24"/>
              <w:szCs w:val="24"/>
            </w:rPr>
            <w:t xml:space="preserve"> </w:t>
          </w:r>
        </w:p>
      </w:tc>
      <w:tc>
        <w:tcPr>
          <w:tcW w:w="2751" w:type="dxa"/>
          <w:shd w:val="clear" w:color="auto" w:fill="auto"/>
        </w:tcPr>
        <w:p w14:paraId="2F515E2F" w14:textId="019E2B13" w:rsidR="00B83FAC" w:rsidRPr="00B83FAC" w:rsidRDefault="00B83FAC" w:rsidP="00E90266">
          <w:pPr>
            <w:tabs>
              <w:tab w:val="center" w:pos="4320"/>
              <w:tab w:val="right" w:pos="8640"/>
            </w:tabs>
            <w:spacing w:after="0" w:line="240" w:lineRule="auto"/>
            <w:rPr>
              <w:rFonts w:ascii="Calibri" w:eastAsia="Times New Roman" w:hAnsi="Calibri" w:cs="Times New Roman"/>
            </w:rPr>
          </w:pPr>
          <w:r w:rsidRPr="00BE0C28">
            <w:rPr>
              <w:rFonts w:ascii="Calibri" w:eastAsia="Times New Roman" w:hAnsi="Calibri" w:cs="Times New Roman"/>
              <w:sz w:val="24"/>
              <w:szCs w:val="24"/>
            </w:rPr>
            <w:t xml:space="preserve">Policy #: </w:t>
          </w:r>
          <w:r w:rsidR="00864D90" w:rsidRPr="00BE0C28">
            <w:rPr>
              <w:rFonts w:ascii="Calibri" w:eastAsia="Times New Roman" w:hAnsi="Calibri" w:cs="Times New Roman"/>
              <w:sz w:val="24"/>
              <w:szCs w:val="24"/>
            </w:rPr>
            <w:t>600</w:t>
          </w:r>
          <w:r w:rsidR="00E90266" w:rsidRPr="00BE0C28">
            <w:rPr>
              <w:rFonts w:ascii="Calibri" w:eastAsia="Times New Roman" w:hAnsi="Calibri" w:cs="Times New Roman"/>
              <w:sz w:val="24"/>
              <w:szCs w:val="24"/>
            </w:rPr>
            <w:t>2</w:t>
          </w:r>
        </w:p>
      </w:tc>
    </w:tr>
    <w:tr w:rsidR="00B83FAC" w:rsidRPr="005D48B1" w14:paraId="1CA2AA06" w14:textId="77777777" w:rsidTr="00E436A5">
      <w:tc>
        <w:tcPr>
          <w:tcW w:w="4248"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610" w:type="dxa"/>
          <w:shd w:val="clear" w:color="auto" w:fill="auto"/>
        </w:tcPr>
        <w:p w14:paraId="626DAC4B" w14:textId="0CEE0F37" w:rsidR="00B83FAC" w:rsidRPr="00B83FAC" w:rsidRDefault="00B83FAC" w:rsidP="00E0691E">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w:t>
          </w:r>
          <w:r w:rsidR="0087379E">
            <w:rPr>
              <w:rFonts w:ascii="Calibri" w:eastAsia="Times New Roman" w:hAnsi="Calibri" w:cs="Times New Roman"/>
              <w:sz w:val="24"/>
              <w:szCs w:val="24"/>
            </w:rPr>
            <w:t xml:space="preserve"> </w:t>
          </w:r>
        </w:p>
      </w:tc>
      <w:tc>
        <w:tcPr>
          <w:tcW w:w="2751" w:type="dxa"/>
          <w:shd w:val="clear" w:color="auto" w:fill="auto"/>
        </w:tcPr>
        <w:p w14:paraId="2477A286" w14:textId="6989BDEB" w:rsidR="00B83FAC" w:rsidRPr="00B83FAC" w:rsidRDefault="00B83FAC" w:rsidP="00E0691E">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r w:rsidR="0087379E">
            <w:rPr>
              <w:rFonts w:ascii="Calibri" w:eastAsia="Times New Roman" w:hAnsi="Calibri" w:cs="Times New Roman"/>
              <w:sz w:val="24"/>
              <w:szCs w:val="24"/>
            </w:rPr>
            <w:t xml:space="preserve"> </w:t>
          </w:r>
        </w:p>
      </w:tc>
    </w:tr>
    <w:tr w:rsidR="00741859" w:rsidRPr="005D48B1" w14:paraId="61F6D4CC" w14:textId="77777777" w:rsidTr="00E436A5">
      <w:tc>
        <w:tcPr>
          <w:tcW w:w="9609" w:type="dxa"/>
          <w:gridSpan w:val="3"/>
          <w:shd w:val="clear" w:color="auto" w:fill="auto"/>
        </w:tcPr>
        <w:p w14:paraId="27617CA0" w14:textId="01B1D3DB" w:rsidR="00741859" w:rsidRPr="00B83FAC" w:rsidRDefault="00B83FAC" w:rsidP="00E436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Administrator</w:t>
          </w:r>
        </w:p>
      </w:tc>
    </w:tr>
    <w:tr w:rsidR="00741859" w:rsidRPr="005D48B1" w14:paraId="41511F19" w14:textId="77777777" w:rsidTr="00E436A5">
      <w:tc>
        <w:tcPr>
          <w:tcW w:w="9609" w:type="dxa"/>
          <w:gridSpan w:val="3"/>
          <w:shd w:val="clear" w:color="auto" w:fill="auto"/>
        </w:tcPr>
        <w:p w14:paraId="554E8BAC" w14:textId="789C6747" w:rsidR="00741859" w:rsidRPr="00B83FAC" w:rsidRDefault="00E0691E" w:rsidP="00E0691E">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R</w:t>
          </w:r>
          <w:r w:rsidR="00741859" w:rsidRPr="00B83FAC">
            <w:rPr>
              <w:rFonts w:ascii="Calibri" w:eastAsia="Times New Roman" w:hAnsi="Calibri" w:cs="Times New Roman"/>
              <w:sz w:val="24"/>
              <w:szCs w:val="24"/>
            </w:rPr>
            <w:t xml:space="preserve">equired reviewer:  </w:t>
          </w:r>
          <w:r w:rsidR="00741859" w:rsidRPr="00B83FAC">
            <w:rPr>
              <w:rFonts w:ascii="Calibri" w:eastAsia="Times New Roman" w:hAnsi="Calibri" w:cs="Times New Roman"/>
            </w:rPr>
            <w:t xml:space="preserve"> N/A</w:t>
          </w:r>
        </w:p>
      </w:tc>
    </w:tr>
  </w:tbl>
  <w:p w14:paraId="6022E536" w14:textId="77777777" w:rsidR="00741859" w:rsidRDefault="0074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02380"/>
    <w:multiLevelType w:val="hybridMultilevel"/>
    <w:tmpl w:val="53F2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B4DB7"/>
    <w:multiLevelType w:val="hybridMultilevel"/>
    <w:tmpl w:val="49F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E4015"/>
    <w:multiLevelType w:val="multilevel"/>
    <w:tmpl w:val="4644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B2331B"/>
    <w:multiLevelType w:val="multilevel"/>
    <w:tmpl w:val="C6949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B5143D"/>
    <w:multiLevelType w:val="hybridMultilevel"/>
    <w:tmpl w:val="2368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E34F6"/>
    <w:multiLevelType w:val="multilevel"/>
    <w:tmpl w:val="0692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755D9D"/>
    <w:multiLevelType w:val="hybridMultilevel"/>
    <w:tmpl w:val="493CF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10A09"/>
    <w:multiLevelType w:val="hybridMultilevel"/>
    <w:tmpl w:val="6C04660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6420B"/>
    <w:multiLevelType w:val="hybridMultilevel"/>
    <w:tmpl w:val="ED184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E58CB"/>
    <w:multiLevelType w:val="hybridMultilevel"/>
    <w:tmpl w:val="5E0C4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63C6B"/>
    <w:multiLevelType w:val="hybridMultilevel"/>
    <w:tmpl w:val="442C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E488A"/>
    <w:multiLevelType w:val="hybridMultilevel"/>
    <w:tmpl w:val="5502A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E6C15"/>
    <w:multiLevelType w:val="multilevel"/>
    <w:tmpl w:val="56FC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00662A"/>
    <w:multiLevelType w:val="multilevel"/>
    <w:tmpl w:val="4C50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2968C0"/>
    <w:multiLevelType w:val="hybridMultilevel"/>
    <w:tmpl w:val="BD9806A8"/>
    <w:lvl w:ilvl="0" w:tplc="552E264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820E71"/>
    <w:multiLevelType w:val="hybridMultilevel"/>
    <w:tmpl w:val="723E1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CD33FF"/>
    <w:multiLevelType w:val="hybridMultilevel"/>
    <w:tmpl w:val="DDC67F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592877"/>
    <w:multiLevelType w:val="hybridMultilevel"/>
    <w:tmpl w:val="BD0CF4EA"/>
    <w:lvl w:ilvl="0" w:tplc="552E264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B733B4"/>
    <w:multiLevelType w:val="hybridMultilevel"/>
    <w:tmpl w:val="90D8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E40E7"/>
    <w:multiLevelType w:val="hybridMultilevel"/>
    <w:tmpl w:val="858CE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E07234"/>
    <w:multiLevelType w:val="hybridMultilevel"/>
    <w:tmpl w:val="093A2F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1"/>
  </w:num>
  <w:num w:numId="4">
    <w:abstractNumId w:val="11"/>
  </w:num>
  <w:num w:numId="5">
    <w:abstractNumId w:val="17"/>
  </w:num>
  <w:num w:numId="6">
    <w:abstractNumId w:val="16"/>
  </w:num>
  <w:num w:numId="7">
    <w:abstractNumId w:val="3"/>
  </w:num>
  <w:num w:numId="8">
    <w:abstractNumId w:val="5"/>
  </w:num>
  <w:num w:numId="9">
    <w:abstractNumId w:val="2"/>
  </w:num>
  <w:num w:numId="10">
    <w:abstractNumId w:val="13"/>
  </w:num>
  <w:num w:numId="11">
    <w:abstractNumId w:val="12"/>
  </w:num>
  <w:num w:numId="12">
    <w:abstractNumId w:val="19"/>
  </w:num>
  <w:num w:numId="13">
    <w:abstractNumId w:val="14"/>
  </w:num>
  <w:num w:numId="14">
    <w:abstractNumId w:val="8"/>
  </w:num>
  <w:num w:numId="15">
    <w:abstractNumId w:val="7"/>
  </w:num>
  <w:num w:numId="16">
    <w:abstractNumId w:val="15"/>
  </w:num>
  <w:num w:numId="17">
    <w:abstractNumId w:val="0"/>
  </w:num>
  <w:num w:numId="18">
    <w:abstractNumId w:val="9"/>
  </w:num>
  <w:num w:numId="19">
    <w:abstractNumId w:val="20"/>
  </w:num>
  <w:num w:numId="20">
    <w:abstractNumId w:val="18"/>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dges, Kelsey">
    <w15:presenceInfo w15:providerId="AD" w15:userId="S-1-5-21-2113617034-1075935789-336686690-151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B1"/>
    <w:rsid w:val="00011792"/>
    <w:rsid w:val="00013484"/>
    <w:rsid w:val="00062018"/>
    <w:rsid w:val="00087594"/>
    <w:rsid w:val="000B2F43"/>
    <w:rsid w:val="000B411B"/>
    <w:rsid w:val="000C069C"/>
    <w:rsid w:val="000C71D6"/>
    <w:rsid w:val="000D529B"/>
    <w:rsid w:val="000F3E87"/>
    <w:rsid w:val="0011466B"/>
    <w:rsid w:val="0013061A"/>
    <w:rsid w:val="001521F9"/>
    <w:rsid w:val="001E5E89"/>
    <w:rsid w:val="00271F2A"/>
    <w:rsid w:val="002C1EC2"/>
    <w:rsid w:val="002C5C74"/>
    <w:rsid w:val="00343BDC"/>
    <w:rsid w:val="003C302E"/>
    <w:rsid w:val="00403F22"/>
    <w:rsid w:val="004A47BE"/>
    <w:rsid w:val="004F0F52"/>
    <w:rsid w:val="004F6B5E"/>
    <w:rsid w:val="00516CB0"/>
    <w:rsid w:val="005512B7"/>
    <w:rsid w:val="0056377D"/>
    <w:rsid w:val="00576AC1"/>
    <w:rsid w:val="005C44DC"/>
    <w:rsid w:val="005D48B1"/>
    <w:rsid w:val="005E1E7A"/>
    <w:rsid w:val="00612419"/>
    <w:rsid w:val="006632DB"/>
    <w:rsid w:val="006B4312"/>
    <w:rsid w:val="00741859"/>
    <w:rsid w:val="007461CB"/>
    <w:rsid w:val="00864D90"/>
    <w:rsid w:val="0087379E"/>
    <w:rsid w:val="008B4B1B"/>
    <w:rsid w:val="008D0B7A"/>
    <w:rsid w:val="009505D6"/>
    <w:rsid w:val="009A0EA7"/>
    <w:rsid w:val="009D7FC4"/>
    <w:rsid w:val="009F411F"/>
    <w:rsid w:val="00A34C0E"/>
    <w:rsid w:val="00A52FED"/>
    <w:rsid w:val="00A652CC"/>
    <w:rsid w:val="00AA68FA"/>
    <w:rsid w:val="00AB71EC"/>
    <w:rsid w:val="00AC01C2"/>
    <w:rsid w:val="00AC3FCE"/>
    <w:rsid w:val="00AE51D5"/>
    <w:rsid w:val="00B14752"/>
    <w:rsid w:val="00B234CB"/>
    <w:rsid w:val="00B26D39"/>
    <w:rsid w:val="00B83FAC"/>
    <w:rsid w:val="00BC2FEB"/>
    <w:rsid w:val="00BE0C28"/>
    <w:rsid w:val="00C12583"/>
    <w:rsid w:val="00C74B4F"/>
    <w:rsid w:val="00C86651"/>
    <w:rsid w:val="00C94EC7"/>
    <w:rsid w:val="00D23BC4"/>
    <w:rsid w:val="00D27CA2"/>
    <w:rsid w:val="00D302A1"/>
    <w:rsid w:val="00D453A5"/>
    <w:rsid w:val="00D55C56"/>
    <w:rsid w:val="00E0691E"/>
    <w:rsid w:val="00E20975"/>
    <w:rsid w:val="00E90266"/>
    <w:rsid w:val="00E92A48"/>
    <w:rsid w:val="00EF2166"/>
    <w:rsid w:val="00FA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F02F5A"/>
  <w15:docId w15:val="{73733BE4-333A-4EFD-97C9-45E83FEF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87379E"/>
    <w:pPr>
      <w:spacing w:after="0" w:line="240" w:lineRule="auto"/>
      <w:ind w:left="720"/>
      <w:contextualSpacing/>
    </w:pPr>
  </w:style>
  <w:style w:type="paragraph" w:styleId="NoSpacing">
    <w:name w:val="No Spacing"/>
    <w:uiPriority w:val="1"/>
    <w:qFormat/>
    <w:rsid w:val="0087379E"/>
    <w:pPr>
      <w:spacing w:after="0" w:line="240" w:lineRule="auto"/>
    </w:pPr>
  </w:style>
  <w:style w:type="paragraph" w:styleId="NormalWeb">
    <w:name w:val="Normal (Web)"/>
    <w:basedOn w:val="Normal"/>
    <w:uiPriority w:val="99"/>
    <w:semiHidden/>
    <w:unhideWhenUsed/>
    <w:rsid w:val="00E0691E"/>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F0F52"/>
    <w:rPr>
      <w:color w:val="0000FF" w:themeColor="hyperlink"/>
      <w:u w:val="single"/>
    </w:rPr>
  </w:style>
  <w:style w:type="character" w:styleId="CommentReference">
    <w:name w:val="annotation reference"/>
    <w:basedOn w:val="DefaultParagraphFont"/>
    <w:uiPriority w:val="99"/>
    <w:semiHidden/>
    <w:unhideWhenUsed/>
    <w:rsid w:val="000C069C"/>
    <w:rPr>
      <w:sz w:val="16"/>
      <w:szCs w:val="16"/>
    </w:rPr>
  </w:style>
  <w:style w:type="paragraph" w:styleId="CommentText">
    <w:name w:val="annotation text"/>
    <w:basedOn w:val="Normal"/>
    <w:link w:val="CommentTextChar"/>
    <w:uiPriority w:val="99"/>
    <w:semiHidden/>
    <w:unhideWhenUsed/>
    <w:rsid w:val="000C069C"/>
    <w:pPr>
      <w:spacing w:line="240" w:lineRule="auto"/>
    </w:pPr>
    <w:rPr>
      <w:sz w:val="20"/>
      <w:szCs w:val="20"/>
    </w:rPr>
  </w:style>
  <w:style w:type="character" w:customStyle="1" w:styleId="CommentTextChar">
    <w:name w:val="Comment Text Char"/>
    <w:basedOn w:val="DefaultParagraphFont"/>
    <w:link w:val="CommentText"/>
    <w:uiPriority w:val="99"/>
    <w:semiHidden/>
    <w:rsid w:val="000C069C"/>
    <w:rPr>
      <w:sz w:val="20"/>
      <w:szCs w:val="20"/>
    </w:rPr>
  </w:style>
  <w:style w:type="paragraph" w:styleId="CommentSubject">
    <w:name w:val="annotation subject"/>
    <w:basedOn w:val="CommentText"/>
    <w:next w:val="CommentText"/>
    <w:link w:val="CommentSubjectChar"/>
    <w:uiPriority w:val="99"/>
    <w:semiHidden/>
    <w:unhideWhenUsed/>
    <w:rsid w:val="000C069C"/>
    <w:rPr>
      <w:b/>
      <w:bCs/>
    </w:rPr>
  </w:style>
  <w:style w:type="character" w:customStyle="1" w:styleId="CommentSubjectChar">
    <w:name w:val="Comment Subject Char"/>
    <w:basedOn w:val="CommentTextChar"/>
    <w:link w:val="CommentSubject"/>
    <w:uiPriority w:val="99"/>
    <w:semiHidden/>
    <w:rsid w:val="000C06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6974">
      <w:bodyDiv w:val="1"/>
      <w:marLeft w:val="0"/>
      <w:marRight w:val="0"/>
      <w:marTop w:val="0"/>
      <w:marBottom w:val="0"/>
      <w:divBdr>
        <w:top w:val="none" w:sz="0" w:space="0" w:color="auto"/>
        <w:left w:val="none" w:sz="0" w:space="0" w:color="auto"/>
        <w:bottom w:val="none" w:sz="0" w:space="0" w:color="auto"/>
        <w:right w:val="none" w:sz="0" w:space="0" w:color="auto"/>
      </w:divBdr>
    </w:div>
    <w:div w:id="965356787">
      <w:bodyDiv w:val="1"/>
      <w:marLeft w:val="0"/>
      <w:marRight w:val="0"/>
      <w:marTop w:val="0"/>
      <w:marBottom w:val="0"/>
      <w:divBdr>
        <w:top w:val="none" w:sz="0" w:space="0" w:color="auto"/>
        <w:left w:val="none" w:sz="0" w:space="0" w:color="auto"/>
        <w:bottom w:val="none" w:sz="0" w:space="0" w:color="auto"/>
        <w:right w:val="none" w:sz="0" w:space="0" w:color="auto"/>
      </w:divBdr>
    </w:div>
    <w:div w:id="979307486">
      <w:bodyDiv w:val="1"/>
      <w:marLeft w:val="0"/>
      <w:marRight w:val="0"/>
      <w:marTop w:val="0"/>
      <w:marBottom w:val="0"/>
      <w:divBdr>
        <w:top w:val="none" w:sz="0" w:space="0" w:color="auto"/>
        <w:left w:val="none" w:sz="0" w:space="0" w:color="auto"/>
        <w:bottom w:val="none" w:sz="0" w:space="0" w:color="auto"/>
        <w:right w:val="none" w:sz="0" w:space="0" w:color="auto"/>
      </w:divBdr>
    </w:div>
    <w:div w:id="997533549">
      <w:bodyDiv w:val="1"/>
      <w:marLeft w:val="0"/>
      <w:marRight w:val="0"/>
      <w:marTop w:val="0"/>
      <w:marBottom w:val="0"/>
      <w:divBdr>
        <w:top w:val="none" w:sz="0" w:space="0" w:color="auto"/>
        <w:left w:val="none" w:sz="0" w:space="0" w:color="auto"/>
        <w:bottom w:val="none" w:sz="0" w:space="0" w:color="auto"/>
        <w:right w:val="none" w:sz="0" w:space="0" w:color="auto"/>
      </w:divBdr>
    </w:div>
    <w:div w:id="14292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Gansauer, Lucy</dc:creator>
  <cp:lastModifiedBy>Mertz-Rivera, Kamara</cp:lastModifiedBy>
  <cp:revision>2</cp:revision>
  <cp:lastPrinted>2018-12-13T20:16:00Z</cp:lastPrinted>
  <dcterms:created xsi:type="dcterms:W3CDTF">2020-01-16T23:17:00Z</dcterms:created>
  <dcterms:modified xsi:type="dcterms:W3CDTF">2020-01-16T23:17:00Z</dcterms:modified>
</cp:coreProperties>
</file>