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E0B58" w14:textId="77777777" w:rsidR="0087379E" w:rsidRPr="00CF6F50" w:rsidRDefault="0087379E" w:rsidP="00D453A5">
      <w:pPr>
        <w:pStyle w:val="NoSpacing"/>
        <w:rPr>
          <w:b/>
          <w:u w:val="single"/>
        </w:rPr>
      </w:pPr>
      <w:r w:rsidRPr="00CF6F50">
        <w:rPr>
          <w:b/>
          <w:u w:val="single"/>
        </w:rPr>
        <w:t>POLICY</w:t>
      </w:r>
    </w:p>
    <w:p w14:paraId="0741901F" w14:textId="424F4183" w:rsidR="00D55C56" w:rsidRPr="00A64996" w:rsidRDefault="00C03AC5" w:rsidP="00A64996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</w:rPr>
      </w:pPr>
      <w:r w:rsidRPr="00C6718A">
        <w:rPr>
          <w:rFonts w:asciiTheme="minorHAnsi" w:hAnsiTheme="minorHAnsi"/>
          <w:sz w:val="22"/>
          <w:szCs w:val="22"/>
        </w:rPr>
        <w:t>Quality Assurance is a</w:t>
      </w:r>
      <w:r w:rsidR="00BE3E8C" w:rsidRPr="00C6718A">
        <w:rPr>
          <w:rFonts w:asciiTheme="minorHAnsi" w:hAnsiTheme="minorHAnsi"/>
          <w:sz w:val="22"/>
          <w:szCs w:val="22"/>
        </w:rPr>
        <w:t xml:space="preserve"> critical </w:t>
      </w:r>
      <w:r w:rsidR="0094440B" w:rsidRPr="00C6718A">
        <w:rPr>
          <w:rFonts w:asciiTheme="minorHAnsi" w:hAnsiTheme="minorHAnsi"/>
          <w:sz w:val="22"/>
          <w:szCs w:val="22"/>
        </w:rPr>
        <w:t xml:space="preserve">process that </w:t>
      </w:r>
      <w:r w:rsidR="00BE3E8C" w:rsidRPr="00C6718A">
        <w:rPr>
          <w:rFonts w:asciiTheme="minorHAnsi" w:hAnsiTheme="minorHAnsi"/>
          <w:sz w:val="22"/>
          <w:szCs w:val="22"/>
        </w:rPr>
        <w:t>assist</w:t>
      </w:r>
      <w:r w:rsidR="0094440B" w:rsidRPr="00C6718A">
        <w:rPr>
          <w:rFonts w:asciiTheme="minorHAnsi" w:hAnsiTheme="minorHAnsi"/>
          <w:sz w:val="22"/>
          <w:szCs w:val="22"/>
        </w:rPr>
        <w:t>s</w:t>
      </w:r>
      <w:r w:rsidR="00BE3E8C" w:rsidRPr="00C6718A">
        <w:rPr>
          <w:rFonts w:asciiTheme="minorHAnsi" w:hAnsiTheme="minorHAnsi"/>
          <w:sz w:val="22"/>
          <w:szCs w:val="22"/>
        </w:rPr>
        <w:t xml:space="preserve"> in </w:t>
      </w:r>
      <w:r w:rsidR="00591F9C">
        <w:rPr>
          <w:rFonts w:asciiTheme="minorHAnsi" w:hAnsiTheme="minorHAnsi"/>
          <w:sz w:val="22"/>
          <w:szCs w:val="22"/>
        </w:rPr>
        <w:t>en</w:t>
      </w:r>
      <w:r w:rsidR="00BE3E8C" w:rsidRPr="00C6718A">
        <w:rPr>
          <w:rFonts w:asciiTheme="minorHAnsi" w:hAnsiTheme="minorHAnsi"/>
          <w:sz w:val="22"/>
          <w:szCs w:val="22"/>
        </w:rPr>
        <w:t xml:space="preserve">suring </w:t>
      </w:r>
      <w:r w:rsidR="0094440B" w:rsidRPr="00C6718A">
        <w:rPr>
          <w:rFonts w:asciiTheme="minorHAnsi" w:hAnsiTheme="minorHAnsi"/>
          <w:sz w:val="22"/>
          <w:szCs w:val="22"/>
        </w:rPr>
        <w:t xml:space="preserve">clinical trials </w:t>
      </w:r>
      <w:r w:rsidR="00591F9C">
        <w:rPr>
          <w:rFonts w:asciiTheme="minorHAnsi" w:hAnsiTheme="minorHAnsi"/>
          <w:sz w:val="22"/>
          <w:szCs w:val="22"/>
        </w:rPr>
        <w:t xml:space="preserve">are </w:t>
      </w:r>
      <w:r w:rsidR="00BE3E8C" w:rsidRPr="00C6718A">
        <w:rPr>
          <w:rFonts w:asciiTheme="minorHAnsi" w:hAnsiTheme="minorHAnsi"/>
          <w:sz w:val="22"/>
          <w:szCs w:val="22"/>
        </w:rPr>
        <w:t>conducted according to the protocol</w:t>
      </w:r>
      <w:r w:rsidR="0094440B" w:rsidRPr="00C6718A">
        <w:rPr>
          <w:rFonts w:asciiTheme="minorHAnsi" w:hAnsiTheme="minorHAnsi"/>
          <w:sz w:val="22"/>
          <w:szCs w:val="22"/>
        </w:rPr>
        <w:t>.</w:t>
      </w:r>
      <w:r w:rsidR="00BE3E8C" w:rsidRPr="00C6718A">
        <w:rPr>
          <w:rFonts w:asciiTheme="minorHAnsi" w:hAnsiTheme="minorHAnsi"/>
          <w:sz w:val="22"/>
          <w:szCs w:val="22"/>
        </w:rPr>
        <w:t xml:space="preserve"> </w:t>
      </w:r>
      <w:r w:rsidR="00A64996">
        <w:rPr>
          <w:rFonts w:asciiTheme="minorHAnsi" w:eastAsiaTheme="minorHAnsi" w:hAnsiTheme="minorHAnsi" w:cs="Arial"/>
          <w:sz w:val="22"/>
          <w:szCs w:val="22"/>
        </w:rPr>
        <w:t>V</w:t>
      </w:r>
      <w:r w:rsidR="00A64996" w:rsidRPr="00A64996">
        <w:rPr>
          <w:rFonts w:asciiTheme="minorHAnsi" w:eastAsiaTheme="minorHAnsi" w:hAnsiTheme="minorHAnsi" w:cs="Arial"/>
          <w:sz w:val="22"/>
          <w:szCs w:val="22"/>
        </w:rPr>
        <w:t>erif</w:t>
      </w:r>
      <w:r w:rsidR="00A64996">
        <w:rPr>
          <w:rFonts w:asciiTheme="minorHAnsi" w:eastAsiaTheme="minorHAnsi" w:hAnsiTheme="minorHAnsi" w:cs="Arial"/>
          <w:sz w:val="22"/>
          <w:szCs w:val="22"/>
        </w:rPr>
        <w:t xml:space="preserve">ication of study </w:t>
      </w:r>
      <w:r w:rsidR="00A64996" w:rsidRPr="00A64996">
        <w:rPr>
          <w:rFonts w:asciiTheme="minorHAnsi" w:eastAsiaTheme="minorHAnsi" w:hAnsiTheme="minorHAnsi" w:cs="Arial"/>
          <w:sz w:val="22"/>
          <w:szCs w:val="22"/>
        </w:rPr>
        <w:t>data</w:t>
      </w:r>
      <w:r w:rsidR="00591F9C">
        <w:rPr>
          <w:rFonts w:asciiTheme="minorHAnsi" w:eastAsiaTheme="minorHAnsi" w:hAnsiTheme="minorHAnsi" w:cs="Arial"/>
          <w:sz w:val="22"/>
          <w:szCs w:val="22"/>
        </w:rPr>
        <w:t>,</w:t>
      </w:r>
      <w:r w:rsidR="00A64996" w:rsidRPr="00A64996">
        <w:rPr>
          <w:rFonts w:asciiTheme="minorHAnsi" w:eastAsiaTheme="minorHAnsi" w:hAnsiTheme="minorHAnsi" w:cs="Arial"/>
          <w:sz w:val="22"/>
          <w:szCs w:val="22"/>
        </w:rPr>
        <w:t xml:space="preserve"> that could affect the interpretation of primary study endpoints</w:t>
      </w:r>
      <w:r w:rsidR="00591F9C">
        <w:rPr>
          <w:rFonts w:asciiTheme="minorHAnsi" w:eastAsiaTheme="minorHAnsi" w:hAnsiTheme="minorHAnsi" w:cs="Arial"/>
          <w:sz w:val="22"/>
          <w:szCs w:val="22"/>
        </w:rPr>
        <w:t>,</w:t>
      </w:r>
      <w:r w:rsidR="00A64996">
        <w:rPr>
          <w:rFonts w:asciiTheme="minorHAnsi" w:eastAsiaTheme="minorHAnsi" w:hAnsiTheme="minorHAnsi" w:cs="Arial"/>
          <w:sz w:val="22"/>
          <w:szCs w:val="22"/>
        </w:rPr>
        <w:t xml:space="preserve"> is a primary goal of </w:t>
      </w:r>
      <w:r w:rsidR="006B2307">
        <w:rPr>
          <w:rFonts w:asciiTheme="minorHAnsi" w:eastAsiaTheme="minorHAnsi" w:hAnsiTheme="minorHAnsi" w:cs="Arial"/>
          <w:sz w:val="22"/>
          <w:szCs w:val="22"/>
        </w:rPr>
        <w:t xml:space="preserve">this </w:t>
      </w:r>
      <w:r w:rsidR="00A64996">
        <w:rPr>
          <w:rFonts w:asciiTheme="minorHAnsi" w:eastAsiaTheme="minorHAnsi" w:hAnsiTheme="minorHAnsi" w:cs="Arial"/>
          <w:sz w:val="22"/>
          <w:szCs w:val="22"/>
        </w:rPr>
        <w:t>routine monitoring process.</w:t>
      </w:r>
      <w:r w:rsidR="00A64996">
        <w:t xml:space="preserve"> </w:t>
      </w:r>
      <w:r w:rsidR="0094440B" w:rsidRPr="00C6718A">
        <w:rPr>
          <w:rFonts w:asciiTheme="minorHAnsi" w:hAnsiTheme="minorHAnsi"/>
          <w:sz w:val="22"/>
          <w:szCs w:val="22"/>
        </w:rPr>
        <w:t xml:space="preserve">It assures that the research subjects received </w:t>
      </w:r>
      <w:r w:rsidR="0094440B" w:rsidRPr="00A64996">
        <w:rPr>
          <w:rFonts w:asciiTheme="minorHAnsi" w:hAnsiTheme="minorHAnsi"/>
          <w:sz w:val="22"/>
          <w:szCs w:val="22"/>
        </w:rPr>
        <w:t>treatment</w:t>
      </w:r>
      <w:r w:rsidR="00095421" w:rsidRPr="00A64996">
        <w:rPr>
          <w:rFonts w:asciiTheme="minorHAnsi" w:hAnsiTheme="minorHAnsi"/>
          <w:sz w:val="22"/>
          <w:szCs w:val="22"/>
        </w:rPr>
        <w:t>, interventions, assessments</w:t>
      </w:r>
      <w:r w:rsidR="0094440B" w:rsidRPr="00A64996">
        <w:rPr>
          <w:rFonts w:asciiTheme="minorHAnsi" w:hAnsiTheme="minorHAnsi"/>
          <w:sz w:val="22"/>
          <w:szCs w:val="22"/>
        </w:rPr>
        <w:t xml:space="preserve"> and</w:t>
      </w:r>
      <w:r w:rsidR="00095421" w:rsidRPr="00A64996">
        <w:rPr>
          <w:rFonts w:asciiTheme="minorHAnsi" w:hAnsiTheme="minorHAnsi"/>
          <w:sz w:val="22"/>
          <w:szCs w:val="22"/>
        </w:rPr>
        <w:t>/or</w:t>
      </w:r>
      <w:r w:rsidR="0094440B" w:rsidRPr="00A64996">
        <w:rPr>
          <w:rFonts w:asciiTheme="minorHAnsi" w:hAnsiTheme="minorHAnsi"/>
          <w:sz w:val="22"/>
          <w:szCs w:val="22"/>
        </w:rPr>
        <w:t xml:space="preserve"> testing</w:t>
      </w:r>
      <w:r w:rsidR="0094440B" w:rsidRPr="00C6718A">
        <w:rPr>
          <w:rFonts w:asciiTheme="minorHAnsi" w:hAnsiTheme="minorHAnsi"/>
          <w:sz w:val="22"/>
          <w:szCs w:val="22"/>
        </w:rPr>
        <w:t xml:space="preserve"> according to the</w:t>
      </w:r>
      <w:r w:rsidR="00591F9C">
        <w:rPr>
          <w:rFonts w:asciiTheme="minorHAnsi" w:hAnsiTheme="minorHAnsi"/>
          <w:sz w:val="22"/>
          <w:szCs w:val="22"/>
        </w:rPr>
        <w:t xml:space="preserve"> prot</w:t>
      </w:r>
      <w:r w:rsidR="007E2DB8">
        <w:rPr>
          <w:rFonts w:asciiTheme="minorHAnsi" w:hAnsiTheme="minorHAnsi"/>
          <w:sz w:val="22"/>
          <w:szCs w:val="22"/>
        </w:rPr>
        <w:t>ocol and trial instructions</w:t>
      </w:r>
      <w:r w:rsidR="00095421" w:rsidRPr="00A64996">
        <w:rPr>
          <w:rFonts w:asciiTheme="minorHAnsi" w:hAnsiTheme="minorHAnsi"/>
          <w:sz w:val="22"/>
          <w:szCs w:val="22"/>
        </w:rPr>
        <w:t>. Monitoring also assures</w:t>
      </w:r>
      <w:r w:rsidR="00A64996" w:rsidRPr="00A64996">
        <w:rPr>
          <w:rFonts w:asciiTheme="minorHAnsi" w:hAnsiTheme="minorHAnsi"/>
          <w:sz w:val="22"/>
          <w:szCs w:val="22"/>
        </w:rPr>
        <w:t xml:space="preserve"> the</w:t>
      </w:r>
      <w:r w:rsidR="00BE3E8C" w:rsidRPr="00C6718A">
        <w:rPr>
          <w:rFonts w:asciiTheme="minorHAnsi" w:hAnsiTheme="minorHAnsi"/>
          <w:sz w:val="22"/>
          <w:szCs w:val="22"/>
        </w:rPr>
        <w:t xml:space="preserve"> data is collected and reported accurately in a timely manner. This policy outlines the elements of the monitoring process performed by the Quality A</w:t>
      </w:r>
      <w:r w:rsidR="00B07BD5">
        <w:rPr>
          <w:rFonts w:asciiTheme="minorHAnsi" w:hAnsiTheme="minorHAnsi"/>
          <w:sz w:val="22"/>
          <w:szCs w:val="22"/>
        </w:rPr>
        <w:t>ssurance Program</w:t>
      </w:r>
      <w:r w:rsidR="00BE3E8C" w:rsidRPr="00C6718A">
        <w:rPr>
          <w:rFonts w:asciiTheme="minorHAnsi" w:hAnsiTheme="minorHAnsi"/>
          <w:sz w:val="22"/>
          <w:szCs w:val="22"/>
        </w:rPr>
        <w:t>.</w:t>
      </w:r>
    </w:p>
    <w:p w14:paraId="1D36CEBA" w14:textId="77777777" w:rsidR="00BE3E8C" w:rsidRPr="00C6718A" w:rsidRDefault="00BE3E8C" w:rsidP="00D453A5">
      <w:pPr>
        <w:pStyle w:val="NoSpacing"/>
      </w:pPr>
    </w:p>
    <w:p w14:paraId="794299C0" w14:textId="69A15407" w:rsidR="00D55C56" w:rsidRPr="00CF6F50" w:rsidRDefault="00D55C56" w:rsidP="00D453A5">
      <w:pPr>
        <w:pStyle w:val="NoSpacing"/>
        <w:rPr>
          <w:b/>
          <w:u w:val="single"/>
        </w:rPr>
      </w:pPr>
      <w:r w:rsidRPr="00CF6F50">
        <w:rPr>
          <w:b/>
          <w:u w:val="single"/>
        </w:rPr>
        <w:t>RESPONSIBILITY</w:t>
      </w:r>
    </w:p>
    <w:p w14:paraId="71AE7E77" w14:textId="1D664868" w:rsidR="00EF2166" w:rsidRPr="00C6718A" w:rsidRDefault="00170445" w:rsidP="0087379E">
      <w:pPr>
        <w:pStyle w:val="NoSpacing"/>
      </w:pPr>
      <w:r>
        <w:t xml:space="preserve">Principal Investigators, </w:t>
      </w:r>
      <w:r w:rsidR="0094440B" w:rsidRPr="00C6718A">
        <w:t xml:space="preserve">QA </w:t>
      </w:r>
      <w:r w:rsidR="00150A89" w:rsidRPr="00C6718A">
        <w:t>C</w:t>
      </w:r>
      <w:r w:rsidR="0094440B" w:rsidRPr="00C6718A">
        <w:t xml:space="preserve">oordinator </w:t>
      </w:r>
      <w:r w:rsidR="00095421">
        <w:t xml:space="preserve">and site </w:t>
      </w:r>
      <w:r w:rsidR="001E4DC5" w:rsidRPr="00C6718A">
        <w:t>Coordinators</w:t>
      </w:r>
    </w:p>
    <w:p w14:paraId="45CCD1F2" w14:textId="77777777" w:rsidR="00150A89" w:rsidRPr="00C6718A" w:rsidRDefault="00150A89" w:rsidP="0087379E">
      <w:pPr>
        <w:pStyle w:val="NoSpacing"/>
      </w:pPr>
    </w:p>
    <w:p w14:paraId="4033CDF1" w14:textId="77777777" w:rsidR="0087379E" w:rsidRPr="00CF6F50" w:rsidRDefault="0087379E" w:rsidP="00D453A5">
      <w:pPr>
        <w:pStyle w:val="NoSpacing"/>
        <w:rPr>
          <w:b/>
          <w:u w:val="single"/>
        </w:rPr>
      </w:pPr>
      <w:r w:rsidRPr="00CF6F50">
        <w:rPr>
          <w:b/>
          <w:u w:val="single"/>
        </w:rPr>
        <w:t>GUIDELINES</w:t>
      </w:r>
    </w:p>
    <w:p w14:paraId="08F690BF" w14:textId="5DFCC106" w:rsidR="00170445" w:rsidRPr="001C211B" w:rsidRDefault="00170445" w:rsidP="00170445">
      <w:pPr>
        <w:pStyle w:val="NoSpacing"/>
      </w:pPr>
      <w:r w:rsidRPr="001C211B">
        <w:t>Each site</w:t>
      </w:r>
      <w:r>
        <w:t>’s</w:t>
      </w:r>
      <w:r w:rsidRPr="001C211B">
        <w:t xml:space="preserve"> Principal Investigator is responsible for ensuring that </w:t>
      </w:r>
      <w:r>
        <w:t xml:space="preserve">program requirements are followed and that there is a process in place to help assure research </w:t>
      </w:r>
      <w:r w:rsidRPr="001C211B">
        <w:t>protocol requirements are followed</w:t>
      </w:r>
      <w:r>
        <w:t xml:space="preserve">. The consortium </w:t>
      </w:r>
      <w:r w:rsidR="00B07BD5">
        <w:t xml:space="preserve">PI’s </w:t>
      </w:r>
      <w:r>
        <w:t>ha</w:t>
      </w:r>
      <w:r w:rsidR="00B07BD5">
        <w:t xml:space="preserve">ve </w:t>
      </w:r>
      <w:r>
        <w:t>established a QA pr</w:t>
      </w:r>
      <w:r w:rsidR="00B07BD5">
        <w:t>ogram</w:t>
      </w:r>
      <w:r>
        <w:t xml:space="preserve"> to assist each site in identifying adherence items that may require additional training</w:t>
      </w:r>
      <w:r w:rsidR="007E2DB8">
        <w:t xml:space="preserve"> and/</w:t>
      </w:r>
      <w:r>
        <w:t>or new processe</w:t>
      </w:r>
      <w:r w:rsidR="007E2DB8">
        <w:t>s</w:t>
      </w:r>
      <w:r>
        <w:t>.</w:t>
      </w:r>
    </w:p>
    <w:p w14:paraId="40966EB4" w14:textId="77777777" w:rsidR="00170445" w:rsidRPr="00C6718A" w:rsidRDefault="00170445" w:rsidP="00D453A5">
      <w:pPr>
        <w:pStyle w:val="NoSpacing"/>
        <w:rPr>
          <w:b/>
        </w:rPr>
      </w:pPr>
    </w:p>
    <w:p w14:paraId="1AD2636B" w14:textId="4485D8AC" w:rsidR="005340C8" w:rsidRPr="00C6718A" w:rsidRDefault="005340C8" w:rsidP="00EF2166">
      <w:pPr>
        <w:pStyle w:val="NoSpacing"/>
        <w:numPr>
          <w:ilvl w:val="0"/>
          <w:numId w:val="5"/>
        </w:numPr>
        <w:rPr>
          <w:i/>
        </w:rPr>
      </w:pPr>
      <w:r w:rsidRPr="00C6718A">
        <w:t xml:space="preserve">QA monitoring visits will be performed </w:t>
      </w:r>
      <w:r w:rsidR="00072F86">
        <w:t>quarterly or</w:t>
      </w:r>
      <w:r w:rsidRPr="00C6718A">
        <w:t xml:space="preserve"> more frequently depending on registrations</w:t>
      </w:r>
      <w:r w:rsidR="00072F86">
        <w:t xml:space="preserve"> and other QA needs that arise</w:t>
      </w:r>
      <w:r w:rsidR="007E2DB8">
        <w:t>.</w:t>
      </w:r>
    </w:p>
    <w:p w14:paraId="07C182E6" w14:textId="32D41610" w:rsidR="001E4DC5" w:rsidRPr="00C6718A" w:rsidRDefault="001E4DC5" w:rsidP="00EF2166">
      <w:pPr>
        <w:pStyle w:val="NoSpacing"/>
        <w:numPr>
          <w:ilvl w:val="0"/>
          <w:numId w:val="5"/>
        </w:numPr>
        <w:rPr>
          <w:i/>
        </w:rPr>
      </w:pPr>
      <w:r w:rsidRPr="00C6718A">
        <w:t>Sites will be contacted by the QA Coordinator to set up</w:t>
      </w:r>
      <w:r w:rsidR="007E2DB8">
        <w:t xml:space="preserve"> a</w:t>
      </w:r>
      <w:r w:rsidRPr="00C6718A">
        <w:t xml:space="preserve"> monitor</w:t>
      </w:r>
      <w:r w:rsidR="007E2DB8">
        <w:t>ing</w:t>
      </w:r>
      <w:r w:rsidRPr="00C6718A">
        <w:t xml:space="preserve"> visi</w:t>
      </w:r>
      <w:r w:rsidR="007E2DB8">
        <w:t xml:space="preserve">t.  Notification of Patient/Subject charts to be monitored will be provided. </w:t>
      </w:r>
    </w:p>
    <w:p w14:paraId="7F9FB550" w14:textId="0D5F24C7" w:rsidR="005340C8" w:rsidRPr="00C6718A" w:rsidRDefault="005340C8" w:rsidP="00EF2166">
      <w:pPr>
        <w:pStyle w:val="NoSpacing"/>
        <w:numPr>
          <w:ilvl w:val="0"/>
          <w:numId w:val="5"/>
        </w:numPr>
        <w:rPr>
          <w:i/>
        </w:rPr>
      </w:pPr>
      <w:r w:rsidRPr="00C6718A">
        <w:t>Selection of charts will be according to registrations, focusing on those that may be difficult, have large numbers of registrations or have other factors that le</w:t>
      </w:r>
      <w:r w:rsidR="007E2DB8">
        <w:t xml:space="preserve">ad </w:t>
      </w:r>
      <w:r w:rsidRPr="00C6718A">
        <w:t>to errors.</w:t>
      </w:r>
    </w:p>
    <w:p w14:paraId="0F0F3EFE" w14:textId="674EBB03" w:rsidR="005340C8" w:rsidRPr="00F24809" w:rsidRDefault="005340C8" w:rsidP="00EF2166">
      <w:pPr>
        <w:pStyle w:val="NoSpacing"/>
        <w:numPr>
          <w:ilvl w:val="0"/>
          <w:numId w:val="5"/>
        </w:numPr>
        <w:rPr>
          <w:i/>
        </w:rPr>
      </w:pPr>
      <w:r w:rsidRPr="00C6718A">
        <w:t xml:space="preserve">A minimum of 10% of all patient accruals will be monitored. </w:t>
      </w:r>
    </w:p>
    <w:p w14:paraId="526940E0" w14:textId="0F7F4DF8" w:rsidR="00F24809" w:rsidRPr="00C6718A" w:rsidRDefault="00F24809" w:rsidP="00EF2166">
      <w:pPr>
        <w:pStyle w:val="NoSpacing"/>
        <w:numPr>
          <w:ilvl w:val="0"/>
          <w:numId w:val="5"/>
        </w:numPr>
        <w:rPr>
          <w:i/>
        </w:rPr>
      </w:pPr>
      <w:r>
        <w:t>A full data review will occur on at least one patient chart during each monitoring visit</w:t>
      </w:r>
    </w:p>
    <w:p w14:paraId="12EB3AAE" w14:textId="5756BC04" w:rsidR="00D86A48" w:rsidRPr="00C6718A" w:rsidRDefault="005340C8" w:rsidP="00D86A48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6718A">
        <w:rPr>
          <w:rFonts w:asciiTheme="minorHAnsi" w:hAnsiTheme="minorHAnsi"/>
          <w:sz w:val="22"/>
          <w:szCs w:val="22"/>
        </w:rPr>
        <w:t>Periodic focused monitoring visits may also occur</w:t>
      </w:r>
      <w:r w:rsidR="00D86A48" w:rsidRPr="00C6718A">
        <w:rPr>
          <w:rFonts w:asciiTheme="minorHAnsi" w:hAnsiTheme="minorHAnsi"/>
          <w:sz w:val="22"/>
          <w:szCs w:val="22"/>
        </w:rPr>
        <w:t xml:space="preserve">. </w:t>
      </w:r>
      <w:r w:rsidRPr="00C6718A">
        <w:rPr>
          <w:rFonts w:asciiTheme="minorHAnsi" w:hAnsiTheme="minorHAnsi"/>
          <w:sz w:val="22"/>
          <w:szCs w:val="22"/>
        </w:rPr>
        <w:t xml:space="preserve"> </w:t>
      </w:r>
      <w:r w:rsidR="00D86A48" w:rsidRPr="00C6718A">
        <w:rPr>
          <w:rFonts w:asciiTheme="minorHAnsi" w:hAnsiTheme="minorHAnsi"/>
          <w:sz w:val="22"/>
          <w:szCs w:val="22"/>
        </w:rPr>
        <w:t xml:space="preserve">The following situations may result in a scheduled internal QA </w:t>
      </w:r>
      <w:r w:rsidR="00B07BD5">
        <w:rPr>
          <w:rFonts w:asciiTheme="minorHAnsi" w:hAnsiTheme="minorHAnsi"/>
          <w:sz w:val="22"/>
          <w:szCs w:val="22"/>
        </w:rPr>
        <w:t>monitor visit</w:t>
      </w:r>
      <w:r w:rsidR="00D86A48" w:rsidRPr="00C6718A">
        <w:rPr>
          <w:rFonts w:asciiTheme="minorHAnsi" w:hAnsiTheme="minorHAnsi"/>
          <w:sz w:val="22"/>
          <w:szCs w:val="22"/>
        </w:rPr>
        <w:t>:</w:t>
      </w:r>
    </w:p>
    <w:p w14:paraId="6536EECA" w14:textId="511A109A" w:rsidR="00D86A48" w:rsidRPr="00C6718A" w:rsidRDefault="00D86A48" w:rsidP="00D86A48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6718A">
        <w:rPr>
          <w:rFonts w:asciiTheme="minorHAnsi" w:hAnsiTheme="minorHAnsi"/>
          <w:sz w:val="22"/>
          <w:szCs w:val="22"/>
        </w:rPr>
        <w:t xml:space="preserve">A staff team member who has less than 6 months experience in the department </w:t>
      </w:r>
    </w:p>
    <w:p w14:paraId="0773A376" w14:textId="77777777" w:rsidR="00D86A48" w:rsidRPr="00C6718A" w:rsidRDefault="00D86A48" w:rsidP="00D86A48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6718A">
        <w:rPr>
          <w:rFonts w:asciiTheme="minorHAnsi" w:hAnsiTheme="minorHAnsi"/>
          <w:sz w:val="22"/>
          <w:szCs w:val="22"/>
        </w:rPr>
        <w:t>Newly activated trial</w:t>
      </w:r>
      <w:bookmarkStart w:id="0" w:name="_GoBack"/>
      <w:bookmarkEnd w:id="0"/>
    </w:p>
    <w:p w14:paraId="7A52A4CE" w14:textId="77777777" w:rsidR="00D86A48" w:rsidRPr="00C6718A" w:rsidRDefault="00D86A48" w:rsidP="00D86A48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6718A">
        <w:rPr>
          <w:rFonts w:asciiTheme="minorHAnsi" w:hAnsiTheme="minorHAnsi"/>
          <w:sz w:val="22"/>
          <w:szCs w:val="22"/>
        </w:rPr>
        <w:t>Registration of ineligible case</w:t>
      </w:r>
    </w:p>
    <w:p w14:paraId="4F8962DA" w14:textId="0E4D61B6" w:rsidR="00D86A48" w:rsidRPr="00C6718A" w:rsidRDefault="00D86A48" w:rsidP="00D86A48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6718A">
        <w:rPr>
          <w:rFonts w:asciiTheme="minorHAnsi" w:hAnsiTheme="minorHAnsi"/>
          <w:sz w:val="22"/>
          <w:szCs w:val="22"/>
        </w:rPr>
        <w:t xml:space="preserve">Repetitive queries </w:t>
      </w:r>
      <w:r w:rsidR="00150A89" w:rsidRPr="00C6718A">
        <w:rPr>
          <w:rFonts w:asciiTheme="minorHAnsi" w:hAnsiTheme="minorHAnsi"/>
          <w:sz w:val="22"/>
          <w:szCs w:val="22"/>
        </w:rPr>
        <w:t xml:space="preserve">received </w:t>
      </w:r>
      <w:r w:rsidRPr="00C6718A">
        <w:rPr>
          <w:rFonts w:asciiTheme="minorHAnsi" w:hAnsiTheme="minorHAnsi"/>
          <w:sz w:val="22"/>
          <w:szCs w:val="22"/>
        </w:rPr>
        <w:t>from a research base</w:t>
      </w:r>
    </w:p>
    <w:p w14:paraId="6FFBD10A" w14:textId="368BACC5" w:rsidR="00D86A48" w:rsidRDefault="00D86A48" w:rsidP="00D86A48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6718A">
        <w:rPr>
          <w:rFonts w:asciiTheme="minorHAnsi" w:hAnsiTheme="minorHAnsi"/>
          <w:sz w:val="22"/>
          <w:szCs w:val="22"/>
        </w:rPr>
        <w:t xml:space="preserve">Request from </w:t>
      </w:r>
      <w:r w:rsidR="00150A89" w:rsidRPr="00C6718A">
        <w:rPr>
          <w:rFonts w:asciiTheme="minorHAnsi" w:hAnsiTheme="minorHAnsi"/>
          <w:sz w:val="22"/>
          <w:szCs w:val="22"/>
        </w:rPr>
        <w:t>site</w:t>
      </w:r>
      <w:r w:rsidRPr="00C6718A">
        <w:rPr>
          <w:rFonts w:asciiTheme="minorHAnsi" w:hAnsiTheme="minorHAnsi"/>
          <w:sz w:val="22"/>
          <w:szCs w:val="22"/>
        </w:rPr>
        <w:t xml:space="preserve">  </w:t>
      </w:r>
    </w:p>
    <w:p w14:paraId="34A0AB02" w14:textId="46C35A32" w:rsidR="00D86A48" w:rsidRPr="00C6718A" w:rsidRDefault="00D86A48" w:rsidP="00150A89">
      <w:pPr>
        <w:pStyle w:val="NoSpacing"/>
        <w:numPr>
          <w:ilvl w:val="0"/>
          <w:numId w:val="5"/>
        </w:numPr>
        <w:rPr>
          <w:i/>
        </w:rPr>
      </w:pPr>
      <w:r w:rsidRPr="00C6718A">
        <w:t>The Protocol specific checklists and calendars will be used to verify eligibility and protocol compliance.</w:t>
      </w:r>
      <w:r w:rsidR="00095421">
        <w:t xml:space="preserve"> The use of the NCI audit forms may also be utilized, see links below.</w:t>
      </w:r>
    </w:p>
    <w:p w14:paraId="34C094B8" w14:textId="77777777" w:rsidR="001E4DC5" w:rsidRPr="00C6718A" w:rsidRDefault="001E4DC5" w:rsidP="00EF2166">
      <w:pPr>
        <w:pStyle w:val="NoSpacing"/>
        <w:rPr>
          <w:b/>
        </w:rPr>
      </w:pPr>
    </w:p>
    <w:p w14:paraId="078BFB25" w14:textId="35902784" w:rsidR="0087379E" w:rsidRPr="00CF6F50" w:rsidRDefault="00EF2166" w:rsidP="00EF2166">
      <w:pPr>
        <w:pStyle w:val="NoSpacing"/>
        <w:rPr>
          <w:b/>
          <w:u w:val="single"/>
        </w:rPr>
      </w:pPr>
      <w:r w:rsidRPr="00CF6F50">
        <w:rPr>
          <w:b/>
          <w:u w:val="single"/>
        </w:rPr>
        <w:t>PROCEDURES</w:t>
      </w:r>
    </w:p>
    <w:p w14:paraId="0E0E91AC" w14:textId="1D58B1DA" w:rsidR="001E4DC5" w:rsidRPr="00C6718A" w:rsidRDefault="00B07BD5" w:rsidP="001E4DC5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QA C</w:t>
      </w:r>
      <w:r w:rsidR="001E4DC5" w:rsidRPr="00C6718A">
        <w:rPr>
          <w:rFonts w:asciiTheme="minorHAnsi" w:hAnsiTheme="minorHAnsi"/>
          <w:sz w:val="22"/>
          <w:szCs w:val="22"/>
        </w:rPr>
        <w:t xml:space="preserve">oordinator will contact the site to be monitored </w:t>
      </w:r>
      <w:r w:rsidR="00BF2335">
        <w:rPr>
          <w:rFonts w:asciiTheme="minorHAnsi" w:hAnsiTheme="minorHAnsi"/>
          <w:sz w:val="22"/>
          <w:szCs w:val="22"/>
        </w:rPr>
        <w:t>to arrange a mutually agreed upon</w:t>
      </w:r>
      <w:r w:rsidR="001E4DC5" w:rsidRPr="00C6718A">
        <w:rPr>
          <w:rFonts w:asciiTheme="minorHAnsi" w:hAnsiTheme="minorHAnsi"/>
          <w:sz w:val="22"/>
          <w:szCs w:val="22"/>
        </w:rPr>
        <w:t xml:space="preserve"> date </w:t>
      </w:r>
      <w:r w:rsidR="00BF2335">
        <w:rPr>
          <w:rFonts w:asciiTheme="minorHAnsi" w:hAnsiTheme="minorHAnsi"/>
          <w:sz w:val="22"/>
          <w:szCs w:val="22"/>
        </w:rPr>
        <w:t xml:space="preserve">with a minimum 14 day notice. A written notice will follow confirming the date and time and </w:t>
      </w:r>
      <w:r w:rsidR="001E4DC5" w:rsidRPr="00C6718A">
        <w:rPr>
          <w:rFonts w:asciiTheme="minorHAnsi" w:hAnsiTheme="minorHAnsi"/>
          <w:sz w:val="22"/>
          <w:szCs w:val="22"/>
        </w:rPr>
        <w:t>provid</w:t>
      </w:r>
      <w:r w:rsidR="00BF2335">
        <w:rPr>
          <w:rFonts w:asciiTheme="minorHAnsi" w:hAnsiTheme="minorHAnsi"/>
          <w:sz w:val="22"/>
          <w:szCs w:val="22"/>
        </w:rPr>
        <w:t>e</w:t>
      </w:r>
      <w:r w:rsidR="001E4DC5" w:rsidRPr="00C6718A">
        <w:rPr>
          <w:rFonts w:asciiTheme="minorHAnsi" w:hAnsiTheme="minorHAnsi"/>
          <w:sz w:val="22"/>
          <w:szCs w:val="22"/>
        </w:rPr>
        <w:t xml:space="preserve"> a list of th</w:t>
      </w:r>
      <w:r w:rsidR="00BF2335">
        <w:rPr>
          <w:rFonts w:asciiTheme="minorHAnsi" w:hAnsiTheme="minorHAnsi"/>
          <w:sz w:val="22"/>
          <w:szCs w:val="22"/>
        </w:rPr>
        <w:t>e</w:t>
      </w:r>
      <w:r w:rsidR="001E4DC5" w:rsidRPr="00C6718A">
        <w:rPr>
          <w:rFonts w:asciiTheme="minorHAnsi" w:hAnsiTheme="minorHAnsi"/>
          <w:sz w:val="22"/>
          <w:szCs w:val="22"/>
        </w:rPr>
        <w:t xml:space="preserve"> </w:t>
      </w:r>
      <w:r w:rsidR="00BF2335">
        <w:rPr>
          <w:rFonts w:asciiTheme="minorHAnsi" w:hAnsiTheme="minorHAnsi"/>
          <w:sz w:val="22"/>
          <w:szCs w:val="22"/>
        </w:rPr>
        <w:t>research participant records</w:t>
      </w:r>
      <w:r w:rsidR="001E4DC5" w:rsidRPr="00C6718A">
        <w:rPr>
          <w:rFonts w:asciiTheme="minorHAnsi" w:hAnsiTheme="minorHAnsi"/>
          <w:sz w:val="22"/>
          <w:szCs w:val="22"/>
        </w:rPr>
        <w:t xml:space="preserve"> t</w:t>
      </w:r>
      <w:r w:rsidR="00BF2335">
        <w:rPr>
          <w:rFonts w:asciiTheme="minorHAnsi" w:hAnsiTheme="minorHAnsi"/>
          <w:sz w:val="22"/>
          <w:szCs w:val="22"/>
        </w:rPr>
        <w:t>hat will</w:t>
      </w:r>
      <w:r w:rsidR="001E4DC5" w:rsidRPr="00C6718A">
        <w:rPr>
          <w:rFonts w:asciiTheme="minorHAnsi" w:hAnsiTheme="minorHAnsi"/>
          <w:sz w:val="22"/>
          <w:szCs w:val="22"/>
        </w:rPr>
        <w:t xml:space="preserve"> be monitored.</w:t>
      </w:r>
    </w:p>
    <w:p w14:paraId="3F3CF74C" w14:textId="1612AC47" w:rsidR="001E4DC5" w:rsidRPr="00C6718A" w:rsidRDefault="001E4DC5" w:rsidP="001E4DC5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6718A">
        <w:rPr>
          <w:rFonts w:asciiTheme="minorHAnsi" w:hAnsiTheme="minorHAnsi"/>
          <w:sz w:val="22"/>
          <w:szCs w:val="22"/>
        </w:rPr>
        <w:t xml:space="preserve">The site is to </w:t>
      </w:r>
      <w:r w:rsidR="001A6330">
        <w:rPr>
          <w:rFonts w:asciiTheme="minorHAnsi" w:hAnsiTheme="minorHAnsi"/>
          <w:sz w:val="22"/>
          <w:szCs w:val="22"/>
        </w:rPr>
        <w:t>en</w:t>
      </w:r>
      <w:r w:rsidRPr="00C6718A">
        <w:rPr>
          <w:rFonts w:asciiTheme="minorHAnsi" w:hAnsiTheme="minorHAnsi"/>
          <w:sz w:val="22"/>
          <w:szCs w:val="22"/>
        </w:rPr>
        <w:t>sure charts are complete and prope</w:t>
      </w:r>
      <w:r w:rsidR="00BF2335">
        <w:rPr>
          <w:rFonts w:asciiTheme="minorHAnsi" w:hAnsiTheme="minorHAnsi"/>
          <w:sz w:val="22"/>
          <w:szCs w:val="22"/>
        </w:rPr>
        <w:t>rly tagged identifying required key items.</w:t>
      </w:r>
    </w:p>
    <w:p w14:paraId="7E9A1800" w14:textId="6567EC4B" w:rsidR="000D154A" w:rsidRDefault="00BF2335" w:rsidP="000D154A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An appropriate </w:t>
      </w:r>
      <w:r w:rsidR="00C8193A" w:rsidRPr="00C6718A">
        <w:rPr>
          <w:rFonts w:asciiTheme="minorHAnsi" w:hAnsiTheme="minorHAnsi"/>
          <w:sz w:val="22"/>
          <w:szCs w:val="22"/>
        </w:rPr>
        <w:t>location with ample space for review of chart</w:t>
      </w:r>
      <w:r w:rsidR="001A6330">
        <w:rPr>
          <w:rFonts w:asciiTheme="minorHAnsi" w:hAnsiTheme="minorHAnsi"/>
          <w:sz w:val="22"/>
          <w:szCs w:val="22"/>
        </w:rPr>
        <w:t xml:space="preserve">s </w:t>
      </w:r>
      <w:r w:rsidR="00C8193A" w:rsidRPr="00C6718A">
        <w:rPr>
          <w:rFonts w:asciiTheme="minorHAnsi" w:hAnsiTheme="minorHAnsi"/>
          <w:sz w:val="22"/>
          <w:szCs w:val="22"/>
        </w:rPr>
        <w:t>will be arranged by the site being monitored</w:t>
      </w:r>
    </w:p>
    <w:p w14:paraId="7E5629C7" w14:textId="6780C26A" w:rsidR="00652A74" w:rsidRPr="000D154A" w:rsidRDefault="00C8193A" w:rsidP="000D154A">
      <w:pPr>
        <w:pStyle w:val="ListParagraph"/>
        <w:numPr>
          <w:ilvl w:val="0"/>
          <w:numId w:val="12"/>
        </w:numPr>
        <w:ind w:left="612"/>
        <w:rPr>
          <w:rFonts w:asciiTheme="minorHAnsi" w:hAnsiTheme="minorHAnsi"/>
          <w:sz w:val="22"/>
          <w:szCs w:val="22"/>
        </w:rPr>
      </w:pPr>
      <w:r w:rsidRPr="000D154A">
        <w:rPr>
          <w:rFonts w:asciiTheme="minorHAnsi" w:hAnsiTheme="minorHAnsi"/>
          <w:sz w:val="22"/>
          <w:szCs w:val="22"/>
        </w:rPr>
        <w:t>The QA coordinator will arrive at the designated time and proceed with the chart reviews.</w:t>
      </w:r>
      <w:r w:rsidR="000D154A" w:rsidRPr="000D154A">
        <w:rPr>
          <w:rFonts w:asciiTheme="minorHAnsi" w:hAnsiTheme="minorHAnsi"/>
          <w:sz w:val="22"/>
          <w:szCs w:val="22"/>
        </w:rPr>
        <w:t xml:space="preserve"> </w:t>
      </w:r>
      <w:r w:rsidR="00652A74" w:rsidRPr="000D154A">
        <w:rPr>
          <w:rFonts w:asciiTheme="minorHAnsi" w:hAnsiTheme="minorHAnsi"/>
          <w:sz w:val="22"/>
          <w:szCs w:val="22"/>
        </w:rPr>
        <w:t xml:space="preserve">The </w:t>
      </w:r>
      <w:r w:rsidR="008569A8">
        <w:rPr>
          <w:rFonts w:asciiTheme="minorHAnsi" w:hAnsiTheme="minorHAnsi"/>
          <w:sz w:val="22"/>
          <w:szCs w:val="22"/>
        </w:rPr>
        <w:t xml:space="preserve">Quality review </w:t>
      </w:r>
      <w:r w:rsidR="00652A74" w:rsidRPr="000D154A">
        <w:rPr>
          <w:rFonts w:asciiTheme="minorHAnsi" w:hAnsiTheme="minorHAnsi"/>
          <w:sz w:val="22"/>
          <w:szCs w:val="22"/>
        </w:rPr>
        <w:t>check lists will be utilized for focus</w:t>
      </w:r>
      <w:r w:rsidR="008569A8">
        <w:rPr>
          <w:rFonts w:asciiTheme="minorHAnsi" w:hAnsiTheme="minorHAnsi"/>
          <w:sz w:val="22"/>
          <w:szCs w:val="22"/>
        </w:rPr>
        <w:t xml:space="preserve">, </w:t>
      </w:r>
      <w:r w:rsidR="00652A74" w:rsidRPr="000D154A">
        <w:rPr>
          <w:rFonts w:asciiTheme="minorHAnsi" w:hAnsiTheme="minorHAnsi"/>
          <w:sz w:val="22"/>
          <w:szCs w:val="22"/>
        </w:rPr>
        <w:t xml:space="preserve">target and routine QA audits of source documents and research base data. Any combination </w:t>
      </w:r>
      <w:r w:rsidR="00453146" w:rsidRPr="000D154A">
        <w:rPr>
          <w:rFonts w:asciiTheme="minorHAnsi" w:hAnsiTheme="minorHAnsi"/>
          <w:sz w:val="22"/>
          <w:szCs w:val="22"/>
        </w:rPr>
        <w:t xml:space="preserve">or all </w:t>
      </w:r>
      <w:r w:rsidR="00652A74" w:rsidRPr="000D154A">
        <w:rPr>
          <w:rFonts w:asciiTheme="minorHAnsi" w:hAnsiTheme="minorHAnsi"/>
          <w:sz w:val="22"/>
          <w:szCs w:val="22"/>
        </w:rPr>
        <w:t>of the following</w:t>
      </w:r>
      <w:r w:rsidR="006E6BE2">
        <w:rPr>
          <w:rFonts w:asciiTheme="minorHAnsi" w:hAnsiTheme="minorHAnsi"/>
          <w:sz w:val="22"/>
          <w:szCs w:val="22"/>
        </w:rPr>
        <w:t xml:space="preserve"> </w:t>
      </w:r>
      <w:r w:rsidR="00652A74" w:rsidRPr="000D154A">
        <w:rPr>
          <w:rFonts w:asciiTheme="minorHAnsi" w:hAnsiTheme="minorHAnsi"/>
          <w:sz w:val="22"/>
          <w:szCs w:val="22"/>
        </w:rPr>
        <w:t>items may be the focus of a monitor</w:t>
      </w:r>
      <w:r w:rsidR="006E6BE2">
        <w:rPr>
          <w:rFonts w:asciiTheme="minorHAnsi" w:hAnsiTheme="minorHAnsi"/>
          <w:sz w:val="22"/>
          <w:szCs w:val="22"/>
        </w:rPr>
        <w:t>ing</w:t>
      </w:r>
      <w:r w:rsidR="00652A74" w:rsidRPr="000D154A">
        <w:rPr>
          <w:rFonts w:asciiTheme="minorHAnsi" w:hAnsiTheme="minorHAnsi"/>
          <w:sz w:val="22"/>
          <w:szCs w:val="22"/>
        </w:rPr>
        <w:t xml:space="preserve"> visit</w:t>
      </w:r>
      <w:r w:rsidR="001A6330">
        <w:rPr>
          <w:rFonts w:asciiTheme="minorHAnsi" w:hAnsiTheme="minorHAnsi"/>
          <w:sz w:val="22"/>
          <w:szCs w:val="22"/>
        </w:rPr>
        <w:t>:</w:t>
      </w:r>
    </w:p>
    <w:p w14:paraId="4A8DB5D9" w14:textId="53936163" w:rsidR="00652A74" w:rsidRPr="00C6718A" w:rsidRDefault="00652A74" w:rsidP="008569A8">
      <w:pPr>
        <w:pStyle w:val="ListParagraph"/>
        <w:numPr>
          <w:ilvl w:val="1"/>
          <w:numId w:val="12"/>
        </w:numPr>
        <w:rPr>
          <w:rFonts w:asciiTheme="minorHAnsi" w:hAnsiTheme="minorHAnsi"/>
          <w:sz w:val="22"/>
          <w:szCs w:val="22"/>
        </w:rPr>
      </w:pPr>
      <w:r w:rsidRPr="00C6718A">
        <w:rPr>
          <w:rFonts w:asciiTheme="minorHAnsi" w:hAnsiTheme="minorHAnsi"/>
          <w:sz w:val="22"/>
          <w:szCs w:val="22"/>
        </w:rPr>
        <w:t xml:space="preserve">Informed consent </w:t>
      </w:r>
    </w:p>
    <w:p w14:paraId="398617BB" w14:textId="0AA803FD" w:rsidR="00652A74" w:rsidRPr="00C6718A" w:rsidRDefault="00652A74" w:rsidP="008569A8">
      <w:pPr>
        <w:numPr>
          <w:ilvl w:val="2"/>
          <w:numId w:val="10"/>
        </w:numPr>
        <w:rPr>
          <w:rFonts w:asciiTheme="minorHAnsi" w:hAnsiTheme="minorHAnsi"/>
          <w:sz w:val="22"/>
          <w:szCs w:val="22"/>
        </w:rPr>
      </w:pPr>
      <w:r w:rsidRPr="00C6718A">
        <w:rPr>
          <w:rFonts w:asciiTheme="minorHAnsi" w:hAnsiTheme="minorHAnsi"/>
          <w:sz w:val="22"/>
          <w:szCs w:val="22"/>
        </w:rPr>
        <w:t xml:space="preserve">Eligibility/Evaluability </w:t>
      </w:r>
    </w:p>
    <w:p w14:paraId="684928DD" w14:textId="59118A46" w:rsidR="00652A74" w:rsidRPr="00C6718A" w:rsidRDefault="00652A74" w:rsidP="008569A8">
      <w:pPr>
        <w:numPr>
          <w:ilvl w:val="2"/>
          <w:numId w:val="10"/>
        </w:numPr>
        <w:rPr>
          <w:rFonts w:asciiTheme="minorHAnsi" w:hAnsiTheme="minorHAnsi"/>
          <w:sz w:val="22"/>
          <w:szCs w:val="22"/>
        </w:rPr>
      </w:pPr>
      <w:r w:rsidRPr="00C6718A">
        <w:rPr>
          <w:rFonts w:asciiTheme="minorHAnsi" w:hAnsiTheme="minorHAnsi"/>
          <w:sz w:val="22"/>
          <w:szCs w:val="22"/>
        </w:rPr>
        <w:t>Strat</w:t>
      </w:r>
      <w:r w:rsidR="0031329F">
        <w:rPr>
          <w:rFonts w:asciiTheme="minorHAnsi" w:hAnsiTheme="minorHAnsi"/>
          <w:sz w:val="22"/>
          <w:szCs w:val="22"/>
        </w:rPr>
        <w:t>ification</w:t>
      </w:r>
      <w:r w:rsidRPr="00C6718A">
        <w:rPr>
          <w:rFonts w:asciiTheme="minorHAnsi" w:hAnsiTheme="minorHAnsi"/>
          <w:sz w:val="22"/>
          <w:szCs w:val="22"/>
        </w:rPr>
        <w:t xml:space="preserve"> or randomization</w:t>
      </w:r>
    </w:p>
    <w:p w14:paraId="59B18E82" w14:textId="77777777" w:rsidR="00652A74" w:rsidRPr="00C6718A" w:rsidRDefault="00652A74" w:rsidP="008569A8">
      <w:pPr>
        <w:numPr>
          <w:ilvl w:val="2"/>
          <w:numId w:val="10"/>
        </w:numPr>
        <w:rPr>
          <w:rFonts w:asciiTheme="minorHAnsi" w:hAnsiTheme="minorHAnsi"/>
          <w:sz w:val="22"/>
          <w:szCs w:val="22"/>
        </w:rPr>
      </w:pPr>
      <w:r w:rsidRPr="00C6718A">
        <w:rPr>
          <w:rFonts w:asciiTheme="minorHAnsi" w:hAnsiTheme="minorHAnsi"/>
          <w:sz w:val="22"/>
          <w:szCs w:val="22"/>
        </w:rPr>
        <w:t>Trial Management or Treatment (correct dose/schedule/therapy)</w:t>
      </w:r>
    </w:p>
    <w:p w14:paraId="0BB50478" w14:textId="39BF3207" w:rsidR="00652A74" w:rsidRPr="00C6718A" w:rsidRDefault="00FC2A68" w:rsidP="008569A8">
      <w:pPr>
        <w:numPr>
          <w:ilvl w:val="2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Site pharmacy inspection and </w:t>
      </w:r>
      <w:r w:rsidR="00652A74" w:rsidRPr="00C6718A">
        <w:rPr>
          <w:rFonts w:asciiTheme="minorHAnsi" w:hAnsiTheme="minorHAnsi"/>
          <w:sz w:val="22"/>
          <w:szCs w:val="22"/>
        </w:rPr>
        <w:t xml:space="preserve">Drug Accountability </w:t>
      </w:r>
    </w:p>
    <w:p w14:paraId="3A793102" w14:textId="2F1A34A8" w:rsidR="00652A74" w:rsidRPr="00C6718A" w:rsidRDefault="00652A74" w:rsidP="008569A8">
      <w:pPr>
        <w:numPr>
          <w:ilvl w:val="2"/>
          <w:numId w:val="10"/>
        </w:numPr>
        <w:rPr>
          <w:rFonts w:asciiTheme="minorHAnsi" w:hAnsiTheme="minorHAnsi"/>
          <w:sz w:val="22"/>
          <w:szCs w:val="22"/>
        </w:rPr>
      </w:pPr>
      <w:r w:rsidRPr="00C6718A">
        <w:rPr>
          <w:rFonts w:asciiTheme="minorHAnsi" w:hAnsiTheme="minorHAnsi"/>
          <w:sz w:val="22"/>
          <w:szCs w:val="22"/>
        </w:rPr>
        <w:t>Scheduled assessments such as lab work, diagnostic tests, specimen submissions</w:t>
      </w:r>
    </w:p>
    <w:p w14:paraId="18B69260" w14:textId="23BAD3F9" w:rsidR="00652A74" w:rsidRPr="00C6718A" w:rsidRDefault="00652A74" w:rsidP="008569A8">
      <w:pPr>
        <w:numPr>
          <w:ilvl w:val="2"/>
          <w:numId w:val="10"/>
        </w:numPr>
        <w:rPr>
          <w:rFonts w:asciiTheme="minorHAnsi" w:hAnsiTheme="minorHAnsi"/>
          <w:sz w:val="22"/>
          <w:szCs w:val="22"/>
        </w:rPr>
      </w:pPr>
      <w:r w:rsidRPr="00C6718A">
        <w:rPr>
          <w:rFonts w:asciiTheme="minorHAnsi" w:hAnsiTheme="minorHAnsi"/>
          <w:sz w:val="22"/>
          <w:szCs w:val="22"/>
        </w:rPr>
        <w:t>Completion and submission of required patient questionnaires</w:t>
      </w:r>
    </w:p>
    <w:p w14:paraId="5659E328" w14:textId="6D0FFE04" w:rsidR="00652A74" w:rsidRPr="00C6718A" w:rsidRDefault="00652A74" w:rsidP="008569A8">
      <w:pPr>
        <w:numPr>
          <w:ilvl w:val="2"/>
          <w:numId w:val="10"/>
        </w:numPr>
        <w:rPr>
          <w:rFonts w:asciiTheme="minorHAnsi" w:hAnsiTheme="minorHAnsi"/>
          <w:sz w:val="22"/>
          <w:szCs w:val="22"/>
        </w:rPr>
      </w:pPr>
      <w:r w:rsidRPr="00C6718A">
        <w:rPr>
          <w:rFonts w:asciiTheme="minorHAnsi" w:hAnsiTheme="minorHAnsi"/>
          <w:sz w:val="22"/>
          <w:szCs w:val="22"/>
        </w:rPr>
        <w:t xml:space="preserve">Toxicities/adverse events </w:t>
      </w:r>
    </w:p>
    <w:p w14:paraId="73C6CA7B" w14:textId="77777777" w:rsidR="00652A74" w:rsidRPr="00C6718A" w:rsidRDefault="00652A74" w:rsidP="008569A8">
      <w:pPr>
        <w:numPr>
          <w:ilvl w:val="2"/>
          <w:numId w:val="10"/>
        </w:numPr>
        <w:rPr>
          <w:rFonts w:asciiTheme="minorHAnsi" w:hAnsiTheme="minorHAnsi"/>
          <w:sz w:val="22"/>
          <w:szCs w:val="22"/>
        </w:rPr>
      </w:pPr>
      <w:r w:rsidRPr="00C6718A">
        <w:rPr>
          <w:rFonts w:asciiTheme="minorHAnsi" w:hAnsiTheme="minorHAnsi"/>
          <w:sz w:val="22"/>
          <w:szCs w:val="22"/>
        </w:rPr>
        <w:t>Response determination when appropriate</w:t>
      </w:r>
    </w:p>
    <w:p w14:paraId="516C4FAB" w14:textId="428A6D93" w:rsidR="00652A74" w:rsidRPr="00C6718A" w:rsidRDefault="0031329F" w:rsidP="008569A8">
      <w:pPr>
        <w:numPr>
          <w:ilvl w:val="2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Study/ Treatment withdrawal</w:t>
      </w:r>
      <w:r w:rsidR="00652A74" w:rsidRPr="00C6718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criteria</w:t>
      </w:r>
      <w:r w:rsidR="00652A74" w:rsidRPr="00C6718A">
        <w:rPr>
          <w:rFonts w:asciiTheme="minorHAnsi" w:hAnsiTheme="minorHAnsi"/>
          <w:sz w:val="22"/>
          <w:szCs w:val="22"/>
        </w:rPr>
        <w:t xml:space="preserve"> or safety assessments as written</w:t>
      </w:r>
    </w:p>
    <w:p w14:paraId="433940AB" w14:textId="77777777" w:rsidR="00652A74" w:rsidRPr="00C6718A" w:rsidRDefault="00652A74" w:rsidP="008569A8">
      <w:pPr>
        <w:numPr>
          <w:ilvl w:val="2"/>
          <w:numId w:val="10"/>
        </w:numPr>
        <w:rPr>
          <w:rFonts w:asciiTheme="minorHAnsi" w:hAnsiTheme="minorHAnsi"/>
          <w:sz w:val="22"/>
          <w:szCs w:val="22"/>
        </w:rPr>
      </w:pPr>
      <w:r w:rsidRPr="00C6718A">
        <w:rPr>
          <w:rFonts w:asciiTheme="minorHAnsi" w:hAnsiTheme="minorHAnsi"/>
          <w:sz w:val="22"/>
          <w:szCs w:val="22"/>
        </w:rPr>
        <w:t>Off study evaluation</w:t>
      </w:r>
    </w:p>
    <w:p w14:paraId="4B86551A" w14:textId="539A6962" w:rsidR="00741859" w:rsidRDefault="001A6330">
      <w:pPr>
        <w:numPr>
          <w:ilvl w:val="2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</w:t>
      </w:r>
      <w:r w:rsidR="00652A74" w:rsidRPr="00C6718A">
        <w:rPr>
          <w:rFonts w:asciiTheme="minorHAnsi" w:hAnsiTheme="minorHAnsi"/>
          <w:sz w:val="22"/>
          <w:szCs w:val="22"/>
        </w:rPr>
        <w:t>Data verification</w:t>
      </w:r>
    </w:p>
    <w:p w14:paraId="66C27FEE" w14:textId="4A3C2348" w:rsidR="00D60D39" w:rsidRPr="00C6718A" w:rsidRDefault="00D60D39" w:rsidP="008569A8">
      <w:pPr>
        <w:numPr>
          <w:ilvl w:val="2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Regulatory Documentation </w:t>
      </w:r>
    </w:p>
    <w:p w14:paraId="1CB285BE" w14:textId="77777777" w:rsidR="001E4DC5" w:rsidRPr="00C6718A" w:rsidRDefault="001E4DC5" w:rsidP="00C8193A">
      <w:pPr>
        <w:ind w:left="612"/>
        <w:rPr>
          <w:rFonts w:asciiTheme="minorHAnsi" w:hAnsiTheme="minorHAnsi"/>
          <w:sz w:val="22"/>
          <w:szCs w:val="22"/>
        </w:rPr>
      </w:pPr>
    </w:p>
    <w:p w14:paraId="789A7FC1" w14:textId="65C9AB4B" w:rsidR="00EF2166" w:rsidRPr="00C6718A" w:rsidRDefault="00C8193A" w:rsidP="005512B7">
      <w:pPr>
        <w:rPr>
          <w:rFonts w:asciiTheme="minorHAnsi" w:hAnsiTheme="minorHAnsi"/>
          <w:sz w:val="22"/>
          <w:szCs w:val="22"/>
        </w:rPr>
      </w:pPr>
      <w:r w:rsidRPr="00C6718A">
        <w:rPr>
          <w:rFonts w:asciiTheme="minorHAnsi" w:hAnsiTheme="minorHAnsi"/>
          <w:sz w:val="22"/>
          <w:szCs w:val="22"/>
        </w:rPr>
        <w:t xml:space="preserve">A review of findings will be discussed with the </w:t>
      </w:r>
      <w:r w:rsidR="005D466D">
        <w:rPr>
          <w:rFonts w:asciiTheme="minorHAnsi" w:hAnsiTheme="minorHAnsi"/>
          <w:sz w:val="22"/>
          <w:szCs w:val="22"/>
        </w:rPr>
        <w:t xml:space="preserve">study PI and </w:t>
      </w:r>
      <w:r w:rsidRPr="00C6718A">
        <w:rPr>
          <w:rFonts w:asciiTheme="minorHAnsi" w:hAnsiTheme="minorHAnsi"/>
          <w:sz w:val="22"/>
          <w:szCs w:val="22"/>
        </w:rPr>
        <w:t xml:space="preserve">site </w:t>
      </w:r>
      <w:r w:rsidR="005D466D">
        <w:rPr>
          <w:rFonts w:asciiTheme="minorHAnsi" w:hAnsiTheme="minorHAnsi"/>
          <w:sz w:val="22"/>
          <w:szCs w:val="22"/>
        </w:rPr>
        <w:t xml:space="preserve">research </w:t>
      </w:r>
      <w:r w:rsidRPr="00C6718A">
        <w:rPr>
          <w:rFonts w:asciiTheme="minorHAnsi" w:hAnsiTheme="minorHAnsi"/>
          <w:sz w:val="22"/>
          <w:szCs w:val="22"/>
        </w:rPr>
        <w:t>staff</w:t>
      </w:r>
      <w:r w:rsidR="00493C72">
        <w:rPr>
          <w:rFonts w:asciiTheme="minorHAnsi" w:hAnsiTheme="minorHAnsi"/>
          <w:sz w:val="22"/>
          <w:szCs w:val="22"/>
        </w:rPr>
        <w:t xml:space="preserve"> at end of visit or the next day depending on timing</w:t>
      </w:r>
      <w:r w:rsidRPr="00C6718A">
        <w:rPr>
          <w:rFonts w:asciiTheme="minorHAnsi" w:hAnsiTheme="minorHAnsi"/>
          <w:sz w:val="22"/>
          <w:szCs w:val="22"/>
        </w:rPr>
        <w:t xml:space="preserve">. This will be an educational format with discussion of </w:t>
      </w:r>
      <w:r w:rsidR="00493C72">
        <w:rPr>
          <w:rFonts w:asciiTheme="minorHAnsi" w:hAnsiTheme="minorHAnsi"/>
          <w:sz w:val="22"/>
          <w:szCs w:val="22"/>
        </w:rPr>
        <w:t>options</w:t>
      </w:r>
      <w:r w:rsidR="00BF2335">
        <w:rPr>
          <w:rFonts w:asciiTheme="minorHAnsi" w:hAnsiTheme="minorHAnsi"/>
          <w:sz w:val="22"/>
          <w:szCs w:val="22"/>
        </w:rPr>
        <w:t xml:space="preserve"> or strategies</w:t>
      </w:r>
      <w:r w:rsidR="00493C72">
        <w:rPr>
          <w:rFonts w:asciiTheme="minorHAnsi" w:hAnsiTheme="minorHAnsi"/>
          <w:sz w:val="22"/>
          <w:szCs w:val="22"/>
        </w:rPr>
        <w:t xml:space="preserve"> that</w:t>
      </w:r>
      <w:r w:rsidRPr="00C6718A">
        <w:rPr>
          <w:rFonts w:asciiTheme="minorHAnsi" w:hAnsiTheme="minorHAnsi"/>
          <w:sz w:val="22"/>
          <w:szCs w:val="22"/>
        </w:rPr>
        <w:t xml:space="preserve"> may be </w:t>
      </w:r>
      <w:r w:rsidR="00BF2335">
        <w:rPr>
          <w:rFonts w:asciiTheme="minorHAnsi" w:hAnsiTheme="minorHAnsi"/>
          <w:sz w:val="22"/>
          <w:szCs w:val="22"/>
        </w:rPr>
        <w:t>implemented</w:t>
      </w:r>
      <w:r w:rsidRPr="00C6718A">
        <w:rPr>
          <w:rFonts w:asciiTheme="minorHAnsi" w:hAnsiTheme="minorHAnsi"/>
          <w:sz w:val="22"/>
          <w:szCs w:val="22"/>
        </w:rPr>
        <w:t xml:space="preserve"> at the site to</w:t>
      </w:r>
      <w:r w:rsidR="00BF2335">
        <w:rPr>
          <w:rFonts w:asciiTheme="minorHAnsi" w:hAnsiTheme="minorHAnsi"/>
          <w:sz w:val="22"/>
          <w:szCs w:val="22"/>
        </w:rPr>
        <w:t xml:space="preserve"> </w:t>
      </w:r>
      <w:r w:rsidR="001A6330">
        <w:rPr>
          <w:rFonts w:asciiTheme="minorHAnsi" w:hAnsiTheme="minorHAnsi"/>
          <w:sz w:val="22"/>
          <w:szCs w:val="22"/>
        </w:rPr>
        <w:t>ens</w:t>
      </w:r>
      <w:r w:rsidR="00BF2335">
        <w:rPr>
          <w:rFonts w:asciiTheme="minorHAnsi" w:hAnsiTheme="minorHAnsi"/>
          <w:sz w:val="22"/>
          <w:szCs w:val="22"/>
        </w:rPr>
        <w:t>ure compliance.</w:t>
      </w:r>
      <w:r w:rsidRPr="00C6718A">
        <w:rPr>
          <w:rFonts w:asciiTheme="minorHAnsi" w:hAnsiTheme="minorHAnsi"/>
          <w:sz w:val="22"/>
          <w:szCs w:val="22"/>
        </w:rPr>
        <w:t xml:space="preserve"> </w:t>
      </w:r>
    </w:p>
    <w:p w14:paraId="3ED00972" w14:textId="77777777" w:rsidR="00EF2166" w:rsidRPr="00C6718A" w:rsidRDefault="00EF2166" w:rsidP="005512B7">
      <w:pPr>
        <w:rPr>
          <w:rFonts w:asciiTheme="minorHAnsi" w:hAnsiTheme="minorHAnsi"/>
          <w:sz w:val="22"/>
          <w:szCs w:val="22"/>
        </w:rPr>
      </w:pPr>
    </w:p>
    <w:p w14:paraId="7BD699E6" w14:textId="77777777" w:rsidR="004F0F52" w:rsidRPr="00C6718A" w:rsidRDefault="00E0691E" w:rsidP="00D453A5">
      <w:pPr>
        <w:pStyle w:val="NoSpacing"/>
        <w:rPr>
          <w:b/>
        </w:rPr>
      </w:pPr>
      <w:r w:rsidRPr="00C6718A">
        <w:rPr>
          <w:b/>
        </w:rPr>
        <w:t xml:space="preserve">REFERENCE: </w:t>
      </w:r>
    </w:p>
    <w:p w14:paraId="378BB707" w14:textId="5B98CD85" w:rsidR="00C6718A" w:rsidRPr="00C6718A" w:rsidRDefault="00AA66A7" w:rsidP="00C6718A">
      <w:pPr>
        <w:pStyle w:val="NoSpacing"/>
        <w:numPr>
          <w:ilvl w:val="0"/>
          <w:numId w:val="15"/>
        </w:numPr>
        <w:ind w:left="720"/>
        <w:rPr>
          <w:i/>
        </w:rPr>
      </w:pPr>
      <w:hyperlink r:id="rId7" w:tgtFrame="_blank" w:history="1">
        <w:r w:rsidR="00C6718A" w:rsidRPr="00C6718A">
          <w:rPr>
            <w:rFonts w:cs="Arial"/>
            <w:bCs/>
            <w:kern w:val="36"/>
          </w:rPr>
          <w:t>NCI Guidelines for Auditing Clinical Trials for the NCI National Clinical Trials Network (NCTN) Program Including NCI Community Oncology Research Program (NCORP) and NCORP Research Bases [Sept 2017]</w:t>
        </w:r>
      </w:hyperlink>
    </w:p>
    <w:p w14:paraId="11E52254" w14:textId="4C81418F" w:rsidR="00E0691E" w:rsidRDefault="00AA66A7" w:rsidP="00FC2A68">
      <w:pPr>
        <w:pStyle w:val="NoSpacing"/>
        <w:ind w:left="360" w:firstLine="360"/>
        <w:rPr>
          <w:rStyle w:val="Hyperlink"/>
          <w:b/>
          <w:i/>
        </w:rPr>
      </w:pPr>
      <w:hyperlink r:id="rId8" w:history="1">
        <w:r w:rsidR="00FC2A68" w:rsidRPr="00103013">
          <w:rPr>
            <w:rStyle w:val="Hyperlink"/>
            <w:b/>
            <w:i/>
          </w:rPr>
          <w:t>https://ctep.cancer.gov/branches/ctmb/clinicalTrials/monitoring_coop_ccop_ctsu.htm</w:t>
        </w:r>
      </w:hyperlink>
    </w:p>
    <w:p w14:paraId="6B93ABD0" w14:textId="77D64B02" w:rsidR="000D154A" w:rsidRPr="000D154A" w:rsidRDefault="000D154A" w:rsidP="000D154A">
      <w:pPr>
        <w:pStyle w:val="NoSpacing"/>
        <w:numPr>
          <w:ilvl w:val="0"/>
          <w:numId w:val="15"/>
        </w:numPr>
        <w:ind w:left="720"/>
        <w:rPr>
          <w:i/>
        </w:rPr>
      </w:pPr>
      <w:r w:rsidRPr="00C6718A">
        <w:rPr>
          <w:i/>
        </w:rPr>
        <w:t xml:space="preserve">NCI Patient Case Review Worksheet   </w:t>
      </w:r>
      <w:hyperlink r:id="rId9" w:history="1">
        <w:r w:rsidRPr="00C6718A">
          <w:rPr>
            <w:rStyle w:val="Hyperlink"/>
            <w:i/>
            <w:color w:val="auto"/>
          </w:rPr>
          <w:t>https://ctep.cancer.gov/branches/ctmb/clinicalTrials/docs/Appendix_3.pdf</w:t>
        </w:r>
      </w:hyperlink>
    </w:p>
    <w:p w14:paraId="6AADAE9D" w14:textId="689F4A96" w:rsidR="00FC2A68" w:rsidRDefault="000D154A" w:rsidP="00FC2A68">
      <w:pPr>
        <w:pStyle w:val="NoSpacing"/>
        <w:numPr>
          <w:ilvl w:val="0"/>
          <w:numId w:val="16"/>
        </w:numPr>
        <w:rPr>
          <w:b/>
          <w:i/>
        </w:rPr>
      </w:pPr>
      <w:r w:rsidRPr="000D154A">
        <w:t>SWOG QA Guidelines</w:t>
      </w:r>
      <w:r>
        <w:rPr>
          <w:b/>
          <w:i/>
        </w:rPr>
        <w:t xml:space="preserve"> - </w:t>
      </w:r>
      <w:hyperlink r:id="rId10" w:history="1">
        <w:r w:rsidRPr="00A4742B">
          <w:rPr>
            <w:rStyle w:val="Hyperlink"/>
            <w:b/>
            <w:i/>
          </w:rPr>
          <w:t>https://www.swog.org/sites/default/files/docs/2017-10/QAGuidelines.pdf</w:t>
        </w:r>
      </w:hyperlink>
    </w:p>
    <w:p w14:paraId="014904A3" w14:textId="77777777" w:rsidR="000D154A" w:rsidRDefault="000D154A" w:rsidP="000D154A">
      <w:pPr>
        <w:pStyle w:val="NoSpacing"/>
        <w:ind w:left="720"/>
        <w:rPr>
          <w:b/>
          <w:i/>
        </w:rPr>
      </w:pPr>
    </w:p>
    <w:p w14:paraId="5340551A" w14:textId="77777777" w:rsidR="00EF2166" w:rsidRPr="00C6718A" w:rsidRDefault="00EF2166" w:rsidP="00C6718A">
      <w:pPr>
        <w:pStyle w:val="NoSpacing"/>
        <w:rPr>
          <w:b/>
        </w:rPr>
      </w:pPr>
    </w:p>
    <w:p w14:paraId="7B7BA587" w14:textId="67B720D4" w:rsidR="008B4B1B" w:rsidRDefault="00C6718A" w:rsidP="00D453A5">
      <w:pPr>
        <w:pStyle w:val="NoSpacing"/>
        <w:rPr>
          <w:b/>
        </w:rPr>
      </w:pPr>
      <w:r>
        <w:rPr>
          <w:b/>
        </w:rPr>
        <w:t xml:space="preserve">ASSOCIATED FORMS: </w:t>
      </w:r>
    </w:p>
    <w:p w14:paraId="75433397" w14:textId="3502972C" w:rsidR="00095421" w:rsidRPr="00C6718A" w:rsidRDefault="00AA66A7" w:rsidP="00D453A5">
      <w:pPr>
        <w:pStyle w:val="NoSpacing"/>
        <w:rPr>
          <w:b/>
        </w:rPr>
      </w:pPr>
      <w:hyperlink r:id="rId11" w:history="1">
        <w:r w:rsidR="00095421" w:rsidRPr="00F94725">
          <w:rPr>
            <w:rStyle w:val="Hyperlink"/>
            <w:b/>
          </w:rPr>
          <w:t>https://ctep.cancer.gov/branches/ctmb/clinicalTrials/docs/Appendix_1.pdf</w:t>
        </w:r>
      </w:hyperlink>
    </w:p>
    <w:p w14:paraId="15E17366" w14:textId="529E76C0" w:rsidR="00D453A5" w:rsidRDefault="00AA66A7" w:rsidP="00D453A5">
      <w:pPr>
        <w:pStyle w:val="NoSpacing"/>
        <w:rPr>
          <w:i/>
        </w:rPr>
      </w:pPr>
      <w:hyperlink r:id="rId12" w:history="1">
        <w:r w:rsidR="00095421" w:rsidRPr="00F94725">
          <w:rPr>
            <w:rStyle w:val="Hyperlink"/>
            <w:i/>
          </w:rPr>
          <w:t>https://ctep.cancer.gov/branches/ctmb/clinicalTrials/docs/Appendix_2.pdf</w:t>
        </w:r>
      </w:hyperlink>
    </w:p>
    <w:p w14:paraId="56DC74E4" w14:textId="47AC388F" w:rsidR="006B2307" w:rsidRDefault="00AA66A7" w:rsidP="00D453A5">
      <w:pPr>
        <w:pStyle w:val="NoSpacing"/>
        <w:rPr>
          <w:i/>
        </w:rPr>
      </w:pPr>
      <w:hyperlink r:id="rId13" w:history="1">
        <w:r w:rsidR="006B2307" w:rsidRPr="00F94725">
          <w:rPr>
            <w:rStyle w:val="Hyperlink"/>
            <w:i/>
          </w:rPr>
          <w:t>https://ctep.cancer.gov/branches/ctmb/clinicalTrials/monitoring.htm</w:t>
        </w:r>
      </w:hyperlink>
    </w:p>
    <w:p w14:paraId="0B44F762" w14:textId="77777777" w:rsidR="006B2307" w:rsidRDefault="006B2307" w:rsidP="00D453A5">
      <w:pPr>
        <w:pStyle w:val="NoSpacing"/>
        <w:rPr>
          <w:i/>
        </w:rPr>
      </w:pPr>
    </w:p>
    <w:p w14:paraId="3C267D9A" w14:textId="77777777" w:rsidR="00095421" w:rsidRPr="00C6718A" w:rsidRDefault="00095421" w:rsidP="00D453A5">
      <w:pPr>
        <w:pStyle w:val="NoSpacing"/>
        <w:rPr>
          <w:i/>
        </w:rPr>
      </w:pPr>
    </w:p>
    <w:p w14:paraId="39F33F8A" w14:textId="77777777" w:rsidR="008B4B1B" w:rsidRPr="00C6718A" w:rsidRDefault="008B4B1B" w:rsidP="00D453A5">
      <w:pPr>
        <w:pStyle w:val="NoSpacing"/>
        <w:rPr>
          <w:b/>
        </w:rPr>
      </w:pPr>
      <w:r w:rsidRPr="00C6718A">
        <w:rPr>
          <w:b/>
        </w:rPr>
        <w:t xml:space="preserve">COMMITTEE APPROVAL:  </w:t>
      </w:r>
    </w:p>
    <w:p w14:paraId="583F02B9" w14:textId="41FD55A7" w:rsidR="005E1E7A" w:rsidRDefault="00AC3FCE" w:rsidP="000D154A">
      <w:pPr>
        <w:pStyle w:val="NoSpacing"/>
      </w:pPr>
      <w:r w:rsidRPr="00C6718A">
        <w:t xml:space="preserve">UC </w:t>
      </w:r>
      <w:r w:rsidR="008B4B1B" w:rsidRPr="00C6718A">
        <w:t xml:space="preserve">Policy </w:t>
      </w:r>
      <w:r w:rsidR="00087594" w:rsidRPr="00C6718A">
        <w:t>and</w:t>
      </w:r>
      <w:r w:rsidR="008B4B1B" w:rsidRPr="00C6718A">
        <w:t xml:space="preserve"> Procedure Committee</w:t>
      </w:r>
    </w:p>
    <w:sectPr w:rsidR="005E1E7A" w:rsidSect="00E0691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D04F8" w14:textId="77777777" w:rsidR="0010248F" w:rsidRDefault="0010248F" w:rsidP="005D48B1">
      <w:r>
        <w:separator/>
      </w:r>
    </w:p>
  </w:endnote>
  <w:endnote w:type="continuationSeparator" w:id="0">
    <w:p w14:paraId="0BF5466D" w14:textId="77777777" w:rsidR="0010248F" w:rsidRDefault="0010248F" w:rsidP="005D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6D804" w14:textId="77777777" w:rsidR="00162EB8" w:rsidRDefault="00162E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96090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F3817F" w14:textId="77F69531" w:rsidR="00D23BC4" w:rsidRDefault="00D23BC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2480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2480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ABBC8DE" w14:textId="77777777" w:rsidR="00741859" w:rsidRDefault="007418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3796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FBF9D" w14:textId="549D0CC1" w:rsidR="00D23BC4" w:rsidRDefault="00D23B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8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26C05A" w14:textId="77777777" w:rsidR="00D23BC4" w:rsidRDefault="00D23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BAF42" w14:textId="77777777" w:rsidR="0010248F" w:rsidRDefault="0010248F" w:rsidP="005D48B1">
      <w:r>
        <w:separator/>
      </w:r>
    </w:p>
  </w:footnote>
  <w:footnote w:type="continuationSeparator" w:id="0">
    <w:p w14:paraId="455A7E25" w14:textId="77777777" w:rsidR="0010248F" w:rsidRDefault="0010248F" w:rsidP="005D4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94CEB" w14:textId="77777777" w:rsidR="00162EB8" w:rsidRDefault="00162E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338"/>
      <w:gridCol w:w="5238"/>
    </w:tblGrid>
    <w:tr w:rsidR="00741859" w:rsidRPr="00D767DA" w14:paraId="3494C8D2" w14:textId="77777777" w:rsidTr="00CF6F50">
      <w:trPr>
        <w:trHeight w:val="350"/>
      </w:trPr>
      <w:tc>
        <w:tcPr>
          <w:tcW w:w="4338" w:type="dxa"/>
          <w:vMerge w:val="restart"/>
          <w:shd w:val="clear" w:color="auto" w:fill="auto"/>
          <w:vAlign w:val="center"/>
        </w:tcPr>
        <w:p w14:paraId="11883C22" w14:textId="7A77B7FE" w:rsidR="00741859" w:rsidRPr="00CF6F50" w:rsidRDefault="00CF6F50" w:rsidP="00CF6F50">
          <w:pPr>
            <w:pStyle w:val="Header"/>
            <w:jc w:val="center"/>
            <w:rPr>
              <w:rFonts w:ascii="Calibri" w:hAnsi="Calibri"/>
              <w:b/>
              <w:sz w:val="8"/>
            </w:rPr>
          </w:pPr>
          <w:r w:rsidRPr="00F969BE">
            <w:rPr>
              <w:rFonts w:ascii="Calibri" w:hAnsi="Calibri"/>
              <w:noProof/>
              <w:sz w:val="18"/>
            </w:rPr>
            <w:drawing>
              <wp:inline distT="0" distB="0" distL="0" distR="0" wp14:anchorId="1B5E0B7C" wp14:editId="01EB5B88">
                <wp:extent cx="2560320" cy="827405"/>
                <wp:effectExtent l="0" t="0" r="0" b="0"/>
                <wp:docPr id="2061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6DAD88-9291-4A83-BA3F-948C08457F6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" name="Picture 1">
                          <a:extLst>
                            <a:ext uri="{FF2B5EF4-FFF2-40B4-BE49-F238E27FC236}">
                              <a16:creationId xmlns:a16="http://schemas.microsoft.com/office/drawing/2014/main" id="{136DAD88-9291-4A83-BA3F-948C08457F6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032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8" w:type="dxa"/>
          <w:shd w:val="clear" w:color="auto" w:fill="auto"/>
        </w:tcPr>
        <w:p w14:paraId="3277AF81" w14:textId="5DDA8375" w:rsidR="00741859" w:rsidRPr="000B2F43" w:rsidRDefault="00741859" w:rsidP="001715FD">
          <w:pPr>
            <w:pStyle w:val="Header"/>
            <w:jc w:val="right"/>
            <w:rPr>
              <w:rFonts w:ascii="Calibri" w:hAnsi="Calibri"/>
              <w:sz w:val="28"/>
            </w:rPr>
          </w:pPr>
          <w:r w:rsidRPr="000B2F43">
            <w:rPr>
              <w:rFonts w:ascii="Calibri" w:hAnsi="Calibri"/>
            </w:rPr>
            <w:t>Policy #:</w:t>
          </w:r>
          <w:r w:rsidR="00CF6F50">
            <w:rPr>
              <w:rFonts w:ascii="Calibri" w:hAnsi="Calibri"/>
            </w:rPr>
            <w:t xml:space="preserve"> </w:t>
          </w:r>
          <w:r w:rsidR="001715FD">
            <w:rPr>
              <w:rFonts w:ascii="Calibri" w:hAnsi="Calibri"/>
            </w:rPr>
            <w:t>5003</w:t>
          </w:r>
          <w:r w:rsidR="001715FD" w:rsidRPr="000B2F43">
            <w:rPr>
              <w:rFonts w:ascii="Calibri" w:hAnsi="Calibri"/>
            </w:rPr>
            <w:t xml:space="preserve"> </w:t>
          </w:r>
        </w:p>
      </w:tc>
    </w:tr>
    <w:tr w:rsidR="00741859" w:rsidRPr="00D767DA" w14:paraId="65176760" w14:textId="77777777" w:rsidTr="00CF6F50">
      <w:trPr>
        <w:trHeight w:val="1070"/>
      </w:trPr>
      <w:tc>
        <w:tcPr>
          <w:tcW w:w="4338" w:type="dxa"/>
          <w:vMerge/>
          <w:shd w:val="clear" w:color="auto" w:fill="auto"/>
        </w:tcPr>
        <w:p w14:paraId="4AE8FBC7" w14:textId="77777777" w:rsidR="00741859" w:rsidRPr="00D767DA" w:rsidRDefault="00741859" w:rsidP="00E436A5">
          <w:pPr>
            <w:pStyle w:val="Header"/>
            <w:jc w:val="center"/>
            <w:rPr>
              <w:rFonts w:ascii="Calibri" w:hAnsi="Calibri"/>
            </w:rPr>
          </w:pPr>
        </w:p>
      </w:tc>
      <w:tc>
        <w:tcPr>
          <w:tcW w:w="5238" w:type="dxa"/>
          <w:shd w:val="clear" w:color="auto" w:fill="auto"/>
        </w:tcPr>
        <w:p w14:paraId="670FD2D0" w14:textId="032BB1B3" w:rsidR="00741859" w:rsidRPr="000B2F43" w:rsidRDefault="00741859">
          <w:pPr>
            <w:pStyle w:val="Header"/>
            <w:rPr>
              <w:rFonts w:ascii="Calibri" w:hAnsi="Calibri"/>
              <w:b/>
              <w:sz w:val="28"/>
              <w:szCs w:val="28"/>
            </w:rPr>
          </w:pPr>
          <w:r w:rsidRPr="000B2F43">
            <w:rPr>
              <w:rFonts w:ascii="Calibri" w:hAnsi="Calibri"/>
            </w:rPr>
            <w:t xml:space="preserve">Title:  </w:t>
          </w:r>
          <w:r w:rsidR="001715FD" w:rsidRPr="00CF6F50">
            <w:rPr>
              <w:rFonts w:ascii="Calibri" w:hAnsi="Calibri"/>
              <w:b/>
              <w:sz w:val="28"/>
            </w:rPr>
            <w:t xml:space="preserve">Site </w:t>
          </w:r>
          <w:r w:rsidR="004D006E" w:rsidRPr="00CF6F50">
            <w:rPr>
              <w:rFonts w:ascii="Calibri" w:hAnsi="Calibri"/>
              <w:b/>
              <w:sz w:val="28"/>
            </w:rPr>
            <w:t>Monitoring Process</w:t>
          </w:r>
          <w:r w:rsidR="004D006E" w:rsidRPr="00CF6F50">
            <w:rPr>
              <w:rFonts w:ascii="Calibri" w:hAnsi="Calibri"/>
              <w:sz w:val="28"/>
            </w:rPr>
            <w:t xml:space="preserve">  </w:t>
          </w:r>
        </w:p>
      </w:tc>
    </w:tr>
  </w:tbl>
  <w:p w14:paraId="4DE5CAB4" w14:textId="77777777" w:rsidR="00741859" w:rsidRPr="00741859" w:rsidRDefault="00741859" w:rsidP="00741859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248"/>
      <w:gridCol w:w="2880"/>
      <w:gridCol w:w="3060"/>
    </w:tblGrid>
    <w:tr w:rsidR="00B83FAC" w:rsidRPr="005D48B1" w14:paraId="316FE7EB" w14:textId="77777777" w:rsidTr="003A7925">
      <w:trPr>
        <w:trHeight w:val="350"/>
      </w:trPr>
      <w:tc>
        <w:tcPr>
          <w:tcW w:w="4248" w:type="dxa"/>
          <w:vMerge w:val="restart"/>
          <w:shd w:val="clear" w:color="auto" w:fill="auto"/>
        </w:tcPr>
        <w:p w14:paraId="2A138A9A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rPr>
              <w:rFonts w:ascii="Calibri" w:hAnsi="Calibri"/>
              <w:b/>
              <w:sz w:val="8"/>
            </w:rPr>
          </w:pPr>
        </w:p>
        <w:p w14:paraId="4AB90B23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jc w:val="center"/>
            <w:rPr>
              <w:rFonts w:ascii="Calibri" w:hAnsi="Calibri"/>
              <w:b/>
              <w:sz w:val="8"/>
            </w:rPr>
          </w:pPr>
        </w:p>
        <w:p w14:paraId="37ED2BB6" w14:textId="6AE5BBA0" w:rsidR="00B83FAC" w:rsidRPr="005D48B1" w:rsidRDefault="00CF6F50" w:rsidP="00E436A5">
          <w:pPr>
            <w:tabs>
              <w:tab w:val="center" w:pos="4320"/>
              <w:tab w:val="right" w:pos="8640"/>
            </w:tabs>
            <w:jc w:val="center"/>
            <w:rPr>
              <w:rFonts w:ascii="Calibri" w:hAnsi="Calibri"/>
              <w:b/>
              <w:sz w:val="8"/>
            </w:rPr>
          </w:pPr>
          <w:r w:rsidRPr="00F969BE">
            <w:rPr>
              <w:rFonts w:ascii="Calibri" w:hAnsi="Calibri"/>
              <w:noProof/>
              <w:sz w:val="18"/>
            </w:rPr>
            <w:drawing>
              <wp:inline distT="0" distB="0" distL="0" distR="0" wp14:anchorId="0A5BD194" wp14:editId="7F83D654">
                <wp:extent cx="2560320" cy="827405"/>
                <wp:effectExtent l="0" t="0" r="0" b="0"/>
                <wp:docPr id="2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6DAD88-9291-4A83-BA3F-948C08457F6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" name="Picture 1">
                          <a:extLst>
                            <a:ext uri="{FF2B5EF4-FFF2-40B4-BE49-F238E27FC236}">
                              <a16:creationId xmlns:a16="http://schemas.microsoft.com/office/drawing/2014/main" id="{136DAD88-9291-4A83-BA3F-948C08457F6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032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B2B179" w14:textId="4C345532" w:rsidR="00B83FAC" w:rsidRPr="005D48B1" w:rsidRDefault="00B83FAC" w:rsidP="00E436A5">
          <w:pPr>
            <w:tabs>
              <w:tab w:val="center" w:pos="4320"/>
              <w:tab w:val="right" w:pos="8640"/>
            </w:tabs>
            <w:ind w:left="-90"/>
            <w:rPr>
              <w:rFonts w:ascii="Calibri" w:hAnsi="Calibri"/>
              <w:b/>
              <w:sz w:val="18"/>
            </w:rPr>
          </w:pPr>
        </w:p>
      </w:tc>
      <w:tc>
        <w:tcPr>
          <w:tcW w:w="5940" w:type="dxa"/>
          <w:gridSpan w:val="2"/>
          <w:shd w:val="clear" w:color="auto" w:fill="auto"/>
        </w:tcPr>
        <w:p w14:paraId="024F25F5" w14:textId="3625285E" w:rsidR="00B83FAC" w:rsidRPr="00B83FAC" w:rsidRDefault="00B83FAC" w:rsidP="00E436A5">
          <w:pPr>
            <w:tabs>
              <w:tab w:val="center" w:pos="4320"/>
              <w:tab w:val="right" w:pos="8640"/>
            </w:tabs>
            <w:jc w:val="center"/>
            <w:rPr>
              <w:rFonts w:ascii="Calibri" w:hAnsi="Calibri"/>
              <w:sz w:val="28"/>
            </w:rPr>
          </w:pPr>
          <w:r w:rsidRPr="00B83FAC">
            <w:rPr>
              <w:rFonts w:ascii="Calibri" w:hAnsi="Calibri"/>
              <w:sz w:val="28"/>
            </w:rPr>
            <w:t>Policy &amp; Procedure Manual</w:t>
          </w:r>
        </w:p>
      </w:tc>
    </w:tr>
    <w:tr w:rsidR="00B83FAC" w:rsidRPr="005D48B1" w14:paraId="022416F6" w14:textId="77777777" w:rsidTr="003A7925">
      <w:trPr>
        <w:trHeight w:val="350"/>
      </w:trPr>
      <w:tc>
        <w:tcPr>
          <w:tcW w:w="4248" w:type="dxa"/>
          <w:vMerge/>
          <w:shd w:val="clear" w:color="auto" w:fill="auto"/>
        </w:tcPr>
        <w:p w14:paraId="2D20F9E4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jc w:val="center"/>
            <w:rPr>
              <w:rFonts w:ascii="Calibri" w:hAnsi="Calibri"/>
            </w:rPr>
          </w:pPr>
        </w:p>
      </w:tc>
      <w:tc>
        <w:tcPr>
          <w:tcW w:w="5940" w:type="dxa"/>
          <w:gridSpan w:val="2"/>
          <w:shd w:val="clear" w:color="auto" w:fill="auto"/>
        </w:tcPr>
        <w:p w14:paraId="651F704D" w14:textId="3E4CDE4B" w:rsidR="00B83FAC" w:rsidRPr="00B83FAC" w:rsidRDefault="00B83FAC" w:rsidP="00B07BD5">
          <w:pPr>
            <w:tabs>
              <w:tab w:val="center" w:pos="4320"/>
              <w:tab w:val="right" w:pos="8640"/>
            </w:tabs>
            <w:rPr>
              <w:rFonts w:ascii="Calibri" w:hAnsi="Calibri"/>
              <w:b/>
              <w:sz w:val="28"/>
              <w:szCs w:val="28"/>
            </w:rPr>
          </w:pPr>
          <w:r w:rsidRPr="00B83FAC">
            <w:rPr>
              <w:rFonts w:ascii="Calibri" w:hAnsi="Calibri"/>
            </w:rPr>
            <w:t>Title:</w:t>
          </w:r>
          <w:r w:rsidR="003B36F3">
            <w:rPr>
              <w:rFonts w:ascii="Calibri" w:hAnsi="Calibri"/>
            </w:rPr>
            <w:t xml:space="preserve"> </w:t>
          </w:r>
          <w:r w:rsidR="003B36F3" w:rsidRPr="00CF6F50">
            <w:rPr>
              <w:rFonts w:ascii="Calibri" w:hAnsi="Calibri"/>
              <w:b/>
              <w:sz w:val="28"/>
            </w:rPr>
            <w:t>Site</w:t>
          </w:r>
          <w:r w:rsidRPr="00CF6F50">
            <w:rPr>
              <w:rFonts w:ascii="Calibri" w:hAnsi="Calibri"/>
              <w:b/>
              <w:sz w:val="28"/>
            </w:rPr>
            <w:t xml:space="preserve"> </w:t>
          </w:r>
          <w:r w:rsidR="00BE3E8C" w:rsidRPr="00CF6F50">
            <w:rPr>
              <w:rFonts w:ascii="Calibri" w:hAnsi="Calibri"/>
              <w:b/>
              <w:sz w:val="28"/>
            </w:rPr>
            <w:t xml:space="preserve">Monitoring </w:t>
          </w:r>
          <w:r w:rsidR="003B36F3" w:rsidRPr="00CF6F50">
            <w:rPr>
              <w:rFonts w:ascii="Calibri" w:hAnsi="Calibri"/>
              <w:b/>
              <w:sz w:val="28"/>
            </w:rPr>
            <w:t>Process</w:t>
          </w:r>
        </w:p>
      </w:tc>
    </w:tr>
    <w:tr w:rsidR="00B83FAC" w:rsidRPr="005D48B1" w14:paraId="5F96F94E" w14:textId="77777777" w:rsidTr="003A7925">
      <w:trPr>
        <w:trHeight w:val="440"/>
      </w:trPr>
      <w:tc>
        <w:tcPr>
          <w:tcW w:w="4248" w:type="dxa"/>
          <w:vMerge/>
          <w:shd w:val="clear" w:color="auto" w:fill="auto"/>
        </w:tcPr>
        <w:p w14:paraId="3D919ECE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</w:pPr>
        </w:p>
      </w:tc>
      <w:tc>
        <w:tcPr>
          <w:tcW w:w="2880" w:type="dxa"/>
          <w:shd w:val="clear" w:color="auto" w:fill="auto"/>
        </w:tcPr>
        <w:p w14:paraId="19BF3D15" w14:textId="77777777" w:rsidR="0087379E" w:rsidRDefault="00B83FAC" w:rsidP="00E436A5">
          <w:pPr>
            <w:tabs>
              <w:tab w:val="center" w:pos="4320"/>
              <w:tab w:val="right" w:pos="8640"/>
            </w:tabs>
            <w:rPr>
              <w:rFonts w:ascii="Calibri" w:hAnsi="Calibri"/>
            </w:rPr>
          </w:pPr>
          <w:r w:rsidRPr="00B83FAC">
            <w:rPr>
              <w:rFonts w:ascii="Calibri" w:hAnsi="Calibri"/>
            </w:rPr>
            <w:t xml:space="preserve">Policy Effective Date: </w:t>
          </w:r>
        </w:p>
        <w:p w14:paraId="16860A99" w14:textId="67D0FEBD" w:rsidR="00B83FAC" w:rsidRPr="00B83FAC" w:rsidRDefault="0094440B" w:rsidP="00E436A5">
          <w:pPr>
            <w:tabs>
              <w:tab w:val="center" w:pos="4320"/>
              <w:tab w:val="right" w:pos="8640"/>
            </w:tabs>
            <w:rPr>
              <w:rFonts w:ascii="Calibri" w:hAnsi="Calibri"/>
            </w:rPr>
          </w:pPr>
          <w:r w:rsidRPr="00162EB8">
            <w:rPr>
              <w:rFonts w:ascii="Calibri" w:hAnsi="Calibri"/>
            </w:rPr>
            <w:t>08/01/2019</w:t>
          </w:r>
          <w:r w:rsidR="00B83FAC" w:rsidRPr="00162EB8">
            <w:rPr>
              <w:rFonts w:ascii="Calibri" w:hAnsi="Calibri"/>
            </w:rPr>
            <w:t xml:space="preserve"> </w:t>
          </w:r>
        </w:p>
      </w:tc>
      <w:tc>
        <w:tcPr>
          <w:tcW w:w="3060" w:type="dxa"/>
          <w:shd w:val="clear" w:color="auto" w:fill="auto"/>
        </w:tcPr>
        <w:p w14:paraId="2F515E2F" w14:textId="5227816B" w:rsidR="00B83FAC" w:rsidRPr="00B83FAC" w:rsidRDefault="00B83FAC" w:rsidP="003B36F3">
          <w:pPr>
            <w:tabs>
              <w:tab w:val="center" w:pos="4320"/>
              <w:tab w:val="right" w:pos="8640"/>
            </w:tabs>
            <w:rPr>
              <w:rFonts w:ascii="Calibri" w:hAnsi="Calibri"/>
            </w:rPr>
          </w:pPr>
          <w:r w:rsidRPr="00162EB8">
            <w:rPr>
              <w:rFonts w:ascii="Calibri" w:hAnsi="Calibri"/>
            </w:rPr>
            <w:t xml:space="preserve">Policy #: </w:t>
          </w:r>
          <w:r w:rsidR="003B36F3" w:rsidRPr="00162EB8">
            <w:rPr>
              <w:rFonts w:ascii="Calibri" w:hAnsi="Calibri"/>
            </w:rPr>
            <w:t>5003</w:t>
          </w:r>
        </w:p>
      </w:tc>
    </w:tr>
    <w:tr w:rsidR="00B83FAC" w:rsidRPr="005D48B1" w14:paraId="1CA2AA06" w14:textId="77777777" w:rsidTr="003A7925">
      <w:tc>
        <w:tcPr>
          <w:tcW w:w="4248" w:type="dxa"/>
          <w:vMerge/>
          <w:shd w:val="clear" w:color="auto" w:fill="auto"/>
        </w:tcPr>
        <w:p w14:paraId="3DE70312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rPr>
              <w:rFonts w:ascii="Calibri" w:hAnsi="Calibri"/>
              <w:b/>
            </w:rPr>
          </w:pPr>
        </w:p>
      </w:tc>
      <w:tc>
        <w:tcPr>
          <w:tcW w:w="2880" w:type="dxa"/>
          <w:shd w:val="clear" w:color="auto" w:fill="auto"/>
        </w:tcPr>
        <w:p w14:paraId="626DAC4B" w14:textId="2F7272C3" w:rsidR="00B83FAC" w:rsidRPr="00B83FAC" w:rsidRDefault="00B83FAC" w:rsidP="00E0691E">
          <w:pPr>
            <w:tabs>
              <w:tab w:val="center" w:pos="4320"/>
              <w:tab w:val="right" w:pos="8640"/>
            </w:tabs>
            <w:rPr>
              <w:rFonts w:ascii="Calibri" w:hAnsi="Calibri"/>
            </w:rPr>
          </w:pPr>
          <w:r w:rsidRPr="00B83FAC">
            <w:rPr>
              <w:rFonts w:ascii="Calibri" w:hAnsi="Calibri"/>
            </w:rPr>
            <w:t>Review Date</w:t>
          </w:r>
          <w:r>
            <w:rPr>
              <w:rFonts w:ascii="Calibri" w:hAnsi="Calibri"/>
            </w:rPr>
            <w:t>:</w:t>
          </w:r>
          <w:r w:rsidR="0087379E">
            <w:rPr>
              <w:rFonts w:ascii="Calibri" w:hAnsi="Calibri"/>
            </w:rPr>
            <w:t xml:space="preserve"> </w:t>
          </w:r>
          <w:r w:rsidR="003A7925">
            <w:rPr>
              <w:rFonts w:ascii="Calibri" w:hAnsi="Calibri"/>
            </w:rPr>
            <w:t>01/16/2020</w:t>
          </w:r>
        </w:p>
      </w:tc>
      <w:tc>
        <w:tcPr>
          <w:tcW w:w="3060" w:type="dxa"/>
          <w:shd w:val="clear" w:color="auto" w:fill="auto"/>
        </w:tcPr>
        <w:p w14:paraId="2477A286" w14:textId="6989BDEB" w:rsidR="00B83FAC" w:rsidRPr="00B83FAC" w:rsidRDefault="00B83FAC" w:rsidP="00E0691E">
          <w:pPr>
            <w:tabs>
              <w:tab w:val="center" w:pos="4320"/>
              <w:tab w:val="right" w:pos="8640"/>
            </w:tabs>
            <w:rPr>
              <w:rFonts w:ascii="Calibri" w:hAnsi="Calibri"/>
            </w:rPr>
          </w:pPr>
          <w:r w:rsidRPr="00B83FAC">
            <w:rPr>
              <w:rFonts w:ascii="Calibri" w:hAnsi="Calibri"/>
            </w:rPr>
            <w:t>Revision Date:</w:t>
          </w:r>
          <w:r w:rsidR="0087379E">
            <w:rPr>
              <w:rFonts w:ascii="Calibri" w:hAnsi="Calibri"/>
            </w:rPr>
            <w:t xml:space="preserve"> </w:t>
          </w:r>
        </w:p>
      </w:tc>
    </w:tr>
    <w:tr w:rsidR="00741859" w:rsidRPr="005D48B1" w14:paraId="61F6D4CC" w14:textId="77777777" w:rsidTr="003A7925">
      <w:tc>
        <w:tcPr>
          <w:tcW w:w="10188" w:type="dxa"/>
          <w:gridSpan w:val="3"/>
          <w:shd w:val="clear" w:color="auto" w:fill="auto"/>
        </w:tcPr>
        <w:p w14:paraId="27617CA0" w14:textId="3A353881" w:rsidR="00741859" w:rsidRPr="00B83FAC" w:rsidRDefault="00B83FAC" w:rsidP="0094440B">
          <w:pPr>
            <w:tabs>
              <w:tab w:val="center" w:pos="4320"/>
              <w:tab w:val="right" w:pos="8640"/>
            </w:tabs>
            <w:rPr>
              <w:rFonts w:ascii="Calibri" w:hAnsi="Calibri"/>
            </w:rPr>
          </w:pPr>
          <w:r>
            <w:rPr>
              <w:rFonts w:ascii="Calibri" w:hAnsi="Calibri"/>
            </w:rPr>
            <w:t>Document Owner</w:t>
          </w:r>
          <w:r w:rsidR="00741859" w:rsidRPr="00B83FAC">
            <w:rPr>
              <w:rFonts w:ascii="Calibri" w:hAnsi="Calibri"/>
            </w:rPr>
            <w:t xml:space="preserve">: </w:t>
          </w:r>
          <w:r w:rsidR="0094440B">
            <w:rPr>
              <w:rFonts w:ascii="Calibri" w:hAnsi="Calibri"/>
            </w:rPr>
            <w:t>Quality Assurance Coordinator</w:t>
          </w:r>
        </w:p>
      </w:tc>
    </w:tr>
    <w:tr w:rsidR="00741859" w:rsidRPr="005D48B1" w14:paraId="41511F19" w14:textId="77777777" w:rsidTr="003A7925">
      <w:tc>
        <w:tcPr>
          <w:tcW w:w="10188" w:type="dxa"/>
          <w:gridSpan w:val="3"/>
          <w:shd w:val="clear" w:color="auto" w:fill="auto"/>
        </w:tcPr>
        <w:p w14:paraId="554E8BAC" w14:textId="46169F04" w:rsidR="00741859" w:rsidRPr="00B83FAC" w:rsidRDefault="00E0691E" w:rsidP="0094440B">
          <w:pPr>
            <w:tabs>
              <w:tab w:val="center" w:pos="4320"/>
              <w:tab w:val="right" w:pos="8640"/>
            </w:tabs>
            <w:rPr>
              <w:rFonts w:ascii="Calibri" w:hAnsi="Calibri"/>
            </w:rPr>
          </w:pPr>
          <w:r>
            <w:rPr>
              <w:rFonts w:ascii="Calibri" w:hAnsi="Calibri"/>
            </w:rPr>
            <w:t>R</w:t>
          </w:r>
          <w:r w:rsidR="00741859" w:rsidRPr="00B83FAC">
            <w:rPr>
              <w:rFonts w:ascii="Calibri" w:hAnsi="Calibri"/>
            </w:rPr>
            <w:t xml:space="preserve">equired reviewer:   </w:t>
          </w:r>
          <w:r w:rsidR="00B07BD5">
            <w:rPr>
              <w:rFonts w:ascii="Calibri" w:hAnsi="Calibri"/>
            </w:rPr>
            <w:t>N/A</w:t>
          </w:r>
        </w:p>
      </w:tc>
    </w:tr>
  </w:tbl>
  <w:p w14:paraId="6022E536" w14:textId="77777777" w:rsidR="00741859" w:rsidRDefault="00741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26C1"/>
    <w:multiLevelType w:val="hybridMultilevel"/>
    <w:tmpl w:val="75D25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309DD"/>
    <w:multiLevelType w:val="hybridMultilevel"/>
    <w:tmpl w:val="196C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7C74"/>
    <w:multiLevelType w:val="hybridMultilevel"/>
    <w:tmpl w:val="8E8C0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BC0AF5"/>
    <w:multiLevelType w:val="hybridMultilevel"/>
    <w:tmpl w:val="FD78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D2A27"/>
    <w:multiLevelType w:val="hybridMultilevel"/>
    <w:tmpl w:val="894A6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B4DB7"/>
    <w:multiLevelType w:val="hybridMultilevel"/>
    <w:tmpl w:val="49F4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E4F9A"/>
    <w:multiLevelType w:val="hybridMultilevel"/>
    <w:tmpl w:val="1FE29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B5143D"/>
    <w:multiLevelType w:val="hybridMultilevel"/>
    <w:tmpl w:val="2368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63C6B"/>
    <w:multiLevelType w:val="hybridMultilevel"/>
    <w:tmpl w:val="442C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77E6D"/>
    <w:multiLevelType w:val="hybridMultilevel"/>
    <w:tmpl w:val="3A4E2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E488A"/>
    <w:multiLevelType w:val="hybridMultilevel"/>
    <w:tmpl w:val="5502A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64E7A"/>
    <w:multiLevelType w:val="hybridMultilevel"/>
    <w:tmpl w:val="A31613FE"/>
    <w:lvl w:ilvl="0" w:tplc="6C021B2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AD5FE5"/>
    <w:multiLevelType w:val="hybridMultilevel"/>
    <w:tmpl w:val="42AADA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CD33FF"/>
    <w:multiLevelType w:val="hybridMultilevel"/>
    <w:tmpl w:val="DDC67F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592877"/>
    <w:multiLevelType w:val="hybridMultilevel"/>
    <w:tmpl w:val="54AE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67791"/>
    <w:multiLevelType w:val="hybridMultilevel"/>
    <w:tmpl w:val="8C028DC4"/>
    <w:lvl w:ilvl="0" w:tplc="DA1E72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14"/>
  </w:num>
  <w:num w:numId="6">
    <w:abstractNumId w:val="13"/>
  </w:num>
  <w:num w:numId="7">
    <w:abstractNumId w:val="15"/>
  </w:num>
  <w:num w:numId="8">
    <w:abstractNumId w:val="12"/>
  </w:num>
  <w:num w:numId="9">
    <w:abstractNumId w:val="1"/>
  </w:num>
  <w:num w:numId="10">
    <w:abstractNumId w:val="9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4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B1"/>
    <w:rsid w:val="00013484"/>
    <w:rsid w:val="000457B3"/>
    <w:rsid w:val="00046510"/>
    <w:rsid w:val="00072F86"/>
    <w:rsid w:val="00087594"/>
    <w:rsid w:val="00095421"/>
    <w:rsid w:val="000B2F43"/>
    <w:rsid w:val="000B411B"/>
    <w:rsid w:val="000C71D6"/>
    <w:rsid w:val="000D154A"/>
    <w:rsid w:val="000D529B"/>
    <w:rsid w:val="000F3E87"/>
    <w:rsid w:val="0010248F"/>
    <w:rsid w:val="0011466B"/>
    <w:rsid w:val="0013061A"/>
    <w:rsid w:val="00150A89"/>
    <w:rsid w:val="001521F9"/>
    <w:rsid w:val="00162EB8"/>
    <w:rsid w:val="00170445"/>
    <w:rsid w:val="001715FD"/>
    <w:rsid w:val="001A6330"/>
    <w:rsid w:val="001E3B12"/>
    <w:rsid w:val="001E4DC5"/>
    <w:rsid w:val="001E5E89"/>
    <w:rsid w:val="00271F2A"/>
    <w:rsid w:val="002C10B7"/>
    <w:rsid w:val="002C1EC2"/>
    <w:rsid w:val="0031329F"/>
    <w:rsid w:val="003A7925"/>
    <w:rsid w:val="003B36F3"/>
    <w:rsid w:val="004055B0"/>
    <w:rsid w:val="00453146"/>
    <w:rsid w:val="00493C72"/>
    <w:rsid w:val="004A47BE"/>
    <w:rsid w:val="004D006E"/>
    <w:rsid w:val="004F0F52"/>
    <w:rsid w:val="004F6B5E"/>
    <w:rsid w:val="00503FB3"/>
    <w:rsid w:val="005340C8"/>
    <w:rsid w:val="005512B7"/>
    <w:rsid w:val="00591F9C"/>
    <w:rsid w:val="00597293"/>
    <w:rsid w:val="005D466D"/>
    <w:rsid w:val="005D48B1"/>
    <w:rsid w:val="005E1E7A"/>
    <w:rsid w:val="00652A74"/>
    <w:rsid w:val="006B2307"/>
    <w:rsid w:val="006B4312"/>
    <w:rsid w:val="006E6BE2"/>
    <w:rsid w:val="00741859"/>
    <w:rsid w:val="007461CB"/>
    <w:rsid w:val="00771A52"/>
    <w:rsid w:val="007771F7"/>
    <w:rsid w:val="007E2DB8"/>
    <w:rsid w:val="007E52D1"/>
    <w:rsid w:val="008569A8"/>
    <w:rsid w:val="0087379E"/>
    <w:rsid w:val="008745C8"/>
    <w:rsid w:val="00893F1F"/>
    <w:rsid w:val="008B4B1B"/>
    <w:rsid w:val="0094440B"/>
    <w:rsid w:val="009505D6"/>
    <w:rsid w:val="00A34C0E"/>
    <w:rsid w:val="00A52FED"/>
    <w:rsid w:val="00A64996"/>
    <w:rsid w:val="00A652CC"/>
    <w:rsid w:val="00AA66A7"/>
    <w:rsid w:val="00AA68FA"/>
    <w:rsid w:val="00AB71EC"/>
    <w:rsid w:val="00AC01C2"/>
    <w:rsid w:val="00AC3FCE"/>
    <w:rsid w:val="00B0179E"/>
    <w:rsid w:val="00B07BD5"/>
    <w:rsid w:val="00B234CB"/>
    <w:rsid w:val="00B26D39"/>
    <w:rsid w:val="00B83FAC"/>
    <w:rsid w:val="00BC2FEB"/>
    <w:rsid w:val="00BE3E8C"/>
    <w:rsid w:val="00BF2335"/>
    <w:rsid w:val="00C03AC5"/>
    <w:rsid w:val="00C6718A"/>
    <w:rsid w:val="00C74B4F"/>
    <w:rsid w:val="00C8193A"/>
    <w:rsid w:val="00C94EC7"/>
    <w:rsid w:val="00CF6F50"/>
    <w:rsid w:val="00D23BC4"/>
    <w:rsid w:val="00D302A1"/>
    <w:rsid w:val="00D430AF"/>
    <w:rsid w:val="00D453A5"/>
    <w:rsid w:val="00D55C56"/>
    <w:rsid w:val="00D60D39"/>
    <w:rsid w:val="00D86A48"/>
    <w:rsid w:val="00E0691E"/>
    <w:rsid w:val="00E20975"/>
    <w:rsid w:val="00E92A48"/>
    <w:rsid w:val="00EF2166"/>
    <w:rsid w:val="00F24809"/>
    <w:rsid w:val="00F95AB9"/>
    <w:rsid w:val="00FA1ABE"/>
    <w:rsid w:val="00F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1F02F5A"/>
  <w15:docId w15:val="{73733BE4-333A-4EFD-97C9-45E83FEF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8B1"/>
  </w:style>
  <w:style w:type="paragraph" w:styleId="Footer">
    <w:name w:val="footer"/>
    <w:basedOn w:val="Normal"/>
    <w:link w:val="FooterChar"/>
    <w:uiPriority w:val="99"/>
    <w:unhideWhenUsed/>
    <w:rsid w:val="005D4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8B1"/>
  </w:style>
  <w:style w:type="paragraph" w:styleId="BalloonText">
    <w:name w:val="Balloon Text"/>
    <w:basedOn w:val="Normal"/>
    <w:link w:val="BalloonTextChar"/>
    <w:uiPriority w:val="99"/>
    <w:semiHidden/>
    <w:unhideWhenUsed/>
    <w:rsid w:val="005D4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79E"/>
    <w:pPr>
      <w:ind w:left="720"/>
      <w:contextualSpacing/>
    </w:pPr>
  </w:style>
  <w:style w:type="paragraph" w:styleId="NoSpacing">
    <w:name w:val="No Spacing"/>
    <w:uiPriority w:val="1"/>
    <w:qFormat/>
    <w:rsid w:val="0087379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691E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F0F5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6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3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3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33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63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ep.cancer.gov/branches/ctmb/clinicalTrials/monitoring_coop_ccop_ctsu.htm" TargetMode="External"/><Relationship Id="rId13" Type="http://schemas.openxmlformats.org/officeDocument/2006/relationships/hyperlink" Target="https://ctep.cancer.gov/branches/ctmb/clinicalTrials/monitoring.ht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tep.cancer.gov/branches/ctmb/clinicalTrials/docs/ctmb_audit_guidelines.pdf" TargetMode="External"/><Relationship Id="rId12" Type="http://schemas.openxmlformats.org/officeDocument/2006/relationships/hyperlink" Target="https://ctep.cancer.gov/branches/ctmb/clinicalTrials/docs/Appendix_2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tep.cancer.gov/branches/ctmb/clinicalTrials/docs/Appendix_1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swog.org/sites/default/files/docs/2017-10/QAGuidelines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ctep.cancer.gov/branches/ctmb/clinicalTrials/docs/Appendix_3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SRHS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Gansauer, Lucy</dc:creator>
  <cp:lastModifiedBy>Bridges, Kelsey</cp:lastModifiedBy>
  <cp:revision>4</cp:revision>
  <cp:lastPrinted>2018-12-13T20:16:00Z</cp:lastPrinted>
  <dcterms:created xsi:type="dcterms:W3CDTF">2020-01-16T23:13:00Z</dcterms:created>
  <dcterms:modified xsi:type="dcterms:W3CDTF">2020-01-22T21:34:00Z</dcterms:modified>
</cp:coreProperties>
</file>