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E0B58" w14:textId="77777777" w:rsidR="0087379E" w:rsidRPr="00E45689" w:rsidRDefault="0087379E" w:rsidP="00D453A5">
      <w:pPr>
        <w:pStyle w:val="NoSpacing"/>
        <w:rPr>
          <w:b/>
        </w:rPr>
      </w:pPr>
      <w:r w:rsidRPr="00E45689">
        <w:rPr>
          <w:b/>
        </w:rPr>
        <w:t>POLICY</w:t>
      </w:r>
    </w:p>
    <w:p w14:paraId="6D218BCC" w14:textId="0F8BCF29" w:rsidR="00D55C56" w:rsidRPr="00E45689" w:rsidRDefault="003710A5" w:rsidP="00D453A5">
      <w:pPr>
        <w:pStyle w:val="NoSpacing"/>
      </w:pPr>
      <w:r w:rsidRPr="00E45689">
        <w:t>The</w:t>
      </w:r>
      <w:r w:rsidR="00224042">
        <w:t xml:space="preserve"> Upstate Carolina NCORP (</w:t>
      </w:r>
      <w:r w:rsidRPr="00E45689">
        <w:t>UC-NCORP</w:t>
      </w:r>
      <w:r w:rsidR="00224042">
        <w:t>)</w:t>
      </w:r>
      <w:r w:rsidRPr="00E45689">
        <w:t xml:space="preserve"> requires reporting of </w:t>
      </w:r>
      <w:r w:rsidR="00A52A71" w:rsidRPr="00E45689">
        <w:t>Unanticipated Problems and Continuing or Serious Noncompliance to the Regulatory Office within 48 hours of discovery.</w:t>
      </w:r>
    </w:p>
    <w:p w14:paraId="0741901F" w14:textId="77777777" w:rsidR="00D55C56" w:rsidRPr="00E45689" w:rsidRDefault="00D55C56" w:rsidP="00D453A5">
      <w:pPr>
        <w:pStyle w:val="NoSpacing"/>
        <w:rPr>
          <w:b/>
        </w:rPr>
      </w:pPr>
    </w:p>
    <w:p w14:paraId="794299C0" w14:textId="69A15407" w:rsidR="00D55C56" w:rsidRPr="00E45689" w:rsidRDefault="00D55C56" w:rsidP="00D453A5">
      <w:pPr>
        <w:pStyle w:val="NoSpacing"/>
        <w:rPr>
          <w:b/>
        </w:rPr>
      </w:pPr>
      <w:r w:rsidRPr="00E45689">
        <w:rPr>
          <w:b/>
        </w:rPr>
        <w:t>RESPONSIBILITY</w:t>
      </w:r>
    </w:p>
    <w:p w14:paraId="4266E77C" w14:textId="4579658C" w:rsidR="00E85CBA" w:rsidRPr="00E45689" w:rsidRDefault="00801687" w:rsidP="0087379E">
      <w:pPr>
        <w:pStyle w:val="NoSpacing"/>
      </w:pPr>
      <w:r w:rsidRPr="00E45689">
        <w:t>Affiliate Site</w:t>
      </w:r>
      <w:r w:rsidR="00E85CBA" w:rsidRPr="00E45689">
        <w:t xml:space="preserve"> for reporting</w:t>
      </w:r>
    </w:p>
    <w:p w14:paraId="31B67859" w14:textId="1967E91E" w:rsidR="0087379E" w:rsidRPr="00E45689" w:rsidRDefault="00801687" w:rsidP="0087379E">
      <w:pPr>
        <w:pStyle w:val="NoSpacing"/>
      </w:pPr>
      <w:r w:rsidRPr="00E45689">
        <w:t>Regulatory Manager</w:t>
      </w:r>
      <w:r w:rsidR="00E85CBA" w:rsidRPr="00E45689">
        <w:t xml:space="preserve"> for submission</w:t>
      </w:r>
    </w:p>
    <w:p w14:paraId="71AE7E77" w14:textId="77777777" w:rsidR="00EF2166" w:rsidRPr="00E45689" w:rsidRDefault="00EF2166" w:rsidP="0087379E">
      <w:pPr>
        <w:pStyle w:val="NoSpacing"/>
      </w:pPr>
    </w:p>
    <w:p w14:paraId="326D3E8A" w14:textId="12F28B3A" w:rsidR="00CA38A7" w:rsidRPr="00E45689" w:rsidRDefault="00CA38A7" w:rsidP="00D453A5">
      <w:pPr>
        <w:pStyle w:val="NoSpacing"/>
        <w:rPr>
          <w:b/>
        </w:rPr>
      </w:pPr>
      <w:r w:rsidRPr="00E45689">
        <w:rPr>
          <w:b/>
        </w:rPr>
        <w:t>DEFINITIONS</w:t>
      </w:r>
    </w:p>
    <w:p w14:paraId="530F6A37" w14:textId="2CED13BC" w:rsidR="00472DE0" w:rsidRPr="00E45689" w:rsidRDefault="000C507F" w:rsidP="00472DE0">
      <w:pPr>
        <w:pStyle w:val="Default"/>
        <w:rPr>
          <w:rFonts w:asciiTheme="minorHAnsi" w:hAnsiTheme="minorHAnsi"/>
          <w:sz w:val="22"/>
          <w:szCs w:val="22"/>
        </w:rPr>
      </w:pPr>
      <w:r w:rsidRPr="00E45689">
        <w:rPr>
          <w:rFonts w:asciiTheme="minorHAnsi" w:hAnsiTheme="minorHAnsi"/>
          <w:b/>
          <w:sz w:val="22"/>
          <w:szCs w:val="22"/>
        </w:rPr>
        <w:t xml:space="preserve">Unanticipated Problem:  </w:t>
      </w:r>
      <w:r w:rsidR="004B53A5" w:rsidRPr="00E45689">
        <w:rPr>
          <w:rFonts w:asciiTheme="minorHAnsi" w:hAnsiTheme="minorHAnsi"/>
          <w:sz w:val="22"/>
          <w:szCs w:val="22"/>
        </w:rPr>
        <w:t>This i</w:t>
      </w:r>
      <w:r w:rsidR="00C15C3A" w:rsidRPr="00E45689">
        <w:rPr>
          <w:rFonts w:asciiTheme="minorHAnsi" w:hAnsiTheme="minorHAnsi"/>
          <w:sz w:val="22"/>
          <w:szCs w:val="22"/>
        </w:rPr>
        <w:t xml:space="preserve">ncludes Serious Adverse Events (SAEs).  </w:t>
      </w:r>
      <w:r w:rsidR="00472DE0" w:rsidRPr="00E45689">
        <w:rPr>
          <w:rFonts w:asciiTheme="minorHAnsi" w:hAnsiTheme="minorHAnsi"/>
          <w:sz w:val="22"/>
          <w:szCs w:val="22"/>
        </w:rPr>
        <w:t xml:space="preserve">Unanticipated problems include any incident, experience, or outcome that meets </w:t>
      </w:r>
      <w:r w:rsidR="00472DE0" w:rsidRPr="00E45689">
        <w:rPr>
          <w:rFonts w:asciiTheme="minorHAnsi" w:hAnsiTheme="minorHAnsi"/>
          <w:b/>
          <w:bCs/>
          <w:sz w:val="22"/>
          <w:szCs w:val="22"/>
        </w:rPr>
        <w:t xml:space="preserve">ALL </w:t>
      </w:r>
      <w:r w:rsidR="00472DE0" w:rsidRPr="00E45689">
        <w:rPr>
          <w:rFonts w:asciiTheme="minorHAnsi" w:hAnsiTheme="minorHAnsi"/>
          <w:sz w:val="22"/>
          <w:szCs w:val="22"/>
        </w:rPr>
        <w:t xml:space="preserve">the following criteria: </w:t>
      </w:r>
    </w:p>
    <w:p w14:paraId="116AAFDA" w14:textId="4A2F6AE9" w:rsidR="00472DE0" w:rsidRPr="00E45689" w:rsidRDefault="00472DE0" w:rsidP="00472DE0">
      <w:pPr>
        <w:pStyle w:val="Default"/>
        <w:rPr>
          <w:rFonts w:asciiTheme="minorHAnsi" w:hAnsiTheme="minorHAnsi"/>
          <w:sz w:val="22"/>
          <w:szCs w:val="22"/>
        </w:rPr>
      </w:pPr>
      <w:r w:rsidRPr="00E45689">
        <w:rPr>
          <w:rFonts w:asciiTheme="minorHAnsi" w:hAnsiTheme="minorHAnsi"/>
          <w:sz w:val="22"/>
          <w:szCs w:val="22"/>
        </w:rPr>
        <w:t>-  The incident, experience, or outcome is unexpected (in terms of nature, severity, or frequency) given the research procedures that are descri</w:t>
      </w:r>
      <w:bookmarkStart w:id="0" w:name="_GoBack"/>
      <w:bookmarkEnd w:id="0"/>
      <w:r w:rsidRPr="00E45689">
        <w:rPr>
          <w:rFonts w:asciiTheme="minorHAnsi" w:hAnsiTheme="minorHAnsi"/>
          <w:sz w:val="22"/>
          <w:szCs w:val="22"/>
        </w:rPr>
        <w:t xml:space="preserve">bed in the protocol or the investigator’s brochure and the characteristics of the subject population being </w:t>
      </w:r>
      <w:proofErr w:type="gramStart"/>
      <w:r w:rsidRPr="00E45689">
        <w:rPr>
          <w:rFonts w:asciiTheme="minorHAnsi" w:hAnsiTheme="minorHAnsi"/>
          <w:sz w:val="22"/>
          <w:szCs w:val="22"/>
        </w:rPr>
        <w:t>studied;</w:t>
      </w:r>
      <w:proofErr w:type="gramEnd"/>
      <w:r w:rsidRPr="00E45689">
        <w:rPr>
          <w:rFonts w:asciiTheme="minorHAnsi" w:hAnsiTheme="minorHAnsi"/>
          <w:sz w:val="22"/>
          <w:szCs w:val="22"/>
        </w:rPr>
        <w:t xml:space="preserve"> </w:t>
      </w:r>
    </w:p>
    <w:p w14:paraId="44E8F8F0" w14:textId="36909A0F" w:rsidR="00472DE0" w:rsidRPr="00E45689" w:rsidRDefault="00472DE0" w:rsidP="00472DE0">
      <w:pPr>
        <w:pStyle w:val="Default"/>
        <w:rPr>
          <w:rFonts w:asciiTheme="minorHAnsi" w:hAnsiTheme="minorHAnsi"/>
          <w:sz w:val="22"/>
          <w:szCs w:val="22"/>
        </w:rPr>
      </w:pPr>
      <w:r w:rsidRPr="00E45689">
        <w:rPr>
          <w:rFonts w:asciiTheme="minorHAnsi" w:hAnsiTheme="minorHAnsi"/>
          <w:sz w:val="22"/>
          <w:szCs w:val="22"/>
        </w:rPr>
        <w:t xml:space="preserve">-  There is a reasonable possibility that the incident, experience, or outcome may have been caused by the procedures involved in the research; and </w:t>
      </w:r>
    </w:p>
    <w:p w14:paraId="0EC0810B" w14:textId="786FD1DE" w:rsidR="000C507F" w:rsidRPr="00E45689" w:rsidRDefault="00472DE0" w:rsidP="00472DE0">
      <w:pPr>
        <w:pStyle w:val="NoSpacing"/>
      </w:pPr>
      <w:r w:rsidRPr="00E45689">
        <w:t>-  Subjects or others are at a greater risk of harm (including physical, psychological, economic, or social harm) than was previously known or recognized due to the incident, experience, or outcome.</w:t>
      </w:r>
    </w:p>
    <w:p w14:paraId="0412EFF4" w14:textId="77777777" w:rsidR="000C507F" w:rsidRPr="00E45689" w:rsidRDefault="000C507F" w:rsidP="00D453A5">
      <w:pPr>
        <w:pStyle w:val="NoSpacing"/>
        <w:rPr>
          <w:b/>
        </w:rPr>
      </w:pPr>
    </w:p>
    <w:p w14:paraId="721B0DEF" w14:textId="10564404" w:rsidR="00CA38A7" w:rsidRPr="00E45689" w:rsidRDefault="000C507F" w:rsidP="00D453A5">
      <w:pPr>
        <w:pStyle w:val="NoSpacing"/>
      </w:pPr>
      <w:r w:rsidRPr="00E45689">
        <w:rPr>
          <w:b/>
        </w:rPr>
        <w:t>Unexpected:</w:t>
      </w:r>
      <w:r w:rsidRPr="00E45689">
        <w:t xml:space="preserve">  </w:t>
      </w:r>
      <w:r w:rsidR="00CA38A7" w:rsidRPr="00E45689">
        <w:t xml:space="preserve">The </w:t>
      </w:r>
      <w:r w:rsidR="00075EDA">
        <w:t xml:space="preserve">NCI </w:t>
      </w:r>
      <w:r w:rsidR="00CA38A7" w:rsidRPr="00075EDA">
        <w:t>CIRB</w:t>
      </w:r>
      <w:r w:rsidR="00CA38A7" w:rsidRPr="00E45689">
        <w:t xml:space="preserve"> defines “unexpected” as incidents, experiences, or outcomes that occur while the CIRB-approved protocol is followed as written. These events are unexpected as they are not included in the CIRB-approved protocol, CIRB-approved informed consent document, or the Investigator's Brochure.</w:t>
      </w:r>
    </w:p>
    <w:p w14:paraId="7962DF20" w14:textId="77777777" w:rsidR="00453CA0" w:rsidRPr="00E45689" w:rsidRDefault="00453CA0" w:rsidP="00D453A5">
      <w:pPr>
        <w:pStyle w:val="NoSpacing"/>
      </w:pPr>
    </w:p>
    <w:p w14:paraId="0E6E8C93" w14:textId="77777777" w:rsidR="004B53A5" w:rsidRPr="00E45689" w:rsidRDefault="004B53A5" w:rsidP="004B53A5">
      <w:pPr>
        <w:pStyle w:val="NoSpacing"/>
      </w:pPr>
      <w:r w:rsidRPr="00E45689">
        <w:rPr>
          <w:b/>
        </w:rPr>
        <w:t xml:space="preserve">Noncompliance </w:t>
      </w:r>
      <w:r w:rsidRPr="00E45689">
        <w:t>is a failure to follow protocol or federal regulations.  This includes protocol deviations.</w:t>
      </w:r>
    </w:p>
    <w:p w14:paraId="421396E1" w14:textId="77777777" w:rsidR="004B53A5" w:rsidRPr="00E45689" w:rsidRDefault="004B53A5" w:rsidP="00D453A5">
      <w:pPr>
        <w:pStyle w:val="NoSpacing"/>
        <w:rPr>
          <w:b/>
          <w:i/>
          <w:iCs/>
        </w:rPr>
      </w:pPr>
    </w:p>
    <w:p w14:paraId="7580D859" w14:textId="77777777" w:rsidR="004B53A5" w:rsidRPr="00E45689" w:rsidRDefault="004B53A5" w:rsidP="00D453A5">
      <w:pPr>
        <w:pStyle w:val="NoSpacing"/>
      </w:pPr>
      <w:r w:rsidRPr="00E45689">
        <w:rPr>
          <w:b/>
          <w:i/>
          <w:iCs/>
        </w:rPr>
        <w:t xml:space="preserve">Serious </w:t>
      </w:r>
      <w:r w:rsidRPr="00E45689">
        <w:rPr>
          <w:b/>
        </w:rPr>
        <w:t>noncompliance</w:t>
      </w:r>
      <w:r w:rsidRPr="00E45689">
        <w:t xml:space="preserve"> is noncompliance that adversely affects the rights and welfare of study participants or results in any untoward medical occurrence that meets the criteria of “serious” or significantly impacts the integrity of study data. </w:t>
      </w:r>
    </w:p>
    <w:p w14:paraId="65911585" w14:textId="77777777" w:rsidR="004B53A5" w:rsidRPr="00E45689" w:rsidRDefault="004B53A5" w:rsidP="00D453A5">
      <w:pPr>
        <w:pStyle w:val="NoSpacing"/>
      </w:pPr>
    </w:p>
    <w:p w14:paraId="2405159E" w14:textId="587C032D" w:rsidR="00CA38A7" w:rsidRPr="00E45689" w:rsidRDefault="004B53A5" w:rsidP="00D453A5">
      <w:pPr>
        <w:pStyle w:val="NoSpacing"/>
      </w:pPr>
      <w:r w:rsidRPr="00E45689">
        <w:rPr>
          <w:b/>
        </w:rPr>
        <w:t>Serious</w:t>
      </w:r>
      <w:r w:rsidRPr="00E45689">
        <w:t xml:space="preserve"> is defined as side effects that may require hospitalization or may be irreversible, long-term, life-threatening, or fatal. The </w:t>
      </w:r>
      <w:r w:rsidR="00075EDA">
        <w:t xml:space="preserve">NCI </w:t>
      </w:r>
      <w:r w:rsidRPr="00E45689">
        <w:t>CIRB may also consider as serious those events which, based on appropriate medical judgment, may jeopardize the patient or subject and am require medical or surgical intervention to prevent one of the outcomes above.</w:t>
      </w:r>
    </w:p>
    <w:p w14:paraId="0490076A" w14:textId="77777777" w:rsidR="004B53A5" w:rsidRPr="00E45689" w:rsidRDefault="004B53A5" w:rsidP="00D453A5">
      <w:pPr>
        <w:pStyle w:val="NoSpacing"/>
      </w:pPr>
    </w:p>
    <w:p w14:paraId="71727F3F" w14:textId="58B7954C" w:rsidR="00801687" w:rsidRPr="00E45689" w:rsidRDefault="00801687" w:rsidP="00D453A5">
      <w:pPr>
        <w:pStyle w:val="NoSpacing"/>
      </w:pPr>
      <w:r w:rsidRPr="00E45689">
        <w:rPr>
          <w:b/>
        </w:rPr>
        <w:t>Signatory Institution Principal Investigator:</w:t>
      </w:r>
      <w:r w:rsidRPr="00E45689">
        <w:t xml:space="preserve">  </w:t>
      </w:r>
      <w:r w:rsidR="00E85CBA" w:rsidRPr="00E45689">
        <w:t>Protocol i</w:t>
      </w:r>
      <w:r w:rsidRPr="00E45689">
        <w:t>nvestigator responsible for reporting to cooperative group and NCI CIRB</w:t>
      </w:r>
      <w:r w:rsidR="00E85CBA" w:rsidRPr="00E45689">
        <w:t>.  Also referred to as “Study Principal Investigator”</w:t>
      </w:r>
    </w:p>
    <w:p w14:paraId="3CCEF3D5" w14:textId="77777777" w:rsidR="00801687" w:rsidRPr="00E45689" w:rsidRDefault="00801687" w:rsidP="00D453A5">
      <w:pPr>
        <w:pStyle w:val="NoSpacing"/>
      </w:pPr>
    </w:p>
    <w:p w14:paraId="24792089" w14:textId="1FB36677" w:rsidR="004B53A5" w:rsidRPr="00E45689" w:rsidRDefault="004B53A5" w:rsidP="00D453A5">
      <w:pPr>
        <w:pStyle w:val="NoSpacing"/>
      </w:pPr>
      <w:r w:rsidRPr="00E45689">
        <w:rPr>
          <w:b/>
          <w:i/>
          <w:iCs/>
        </w:rPr>
        <w:t xml:space="preserve">Continuing </w:t>
      </w:r>
      <w:r w:rsidRPr="00E45689">
        <w:rPr>
          <w:b/>
        </w:rPr>
        <w:t>noncompliance</w:t>
      </w:r>
      <w:r w:rsidRPr="00E45689">
        <w:t xml:space="preserve"> is a systematic and habitual disregard of the requirements or decisions of the</w:t>
      </w:r>
      <w:r w:rsidR="00075EDA">
        <w:t xml:space="preserve"> NCI</w:t>
      </w:r>
      <w:r w:rsidRPr="00E45689">
        <w:t xml:space="preserve"> CIRB or of Federal regulations. Continuing noncompliance is an indication of a pattern that, if unaddressed, </w:t>
      </w:r>
      <w:r w:rsidRPr="00E45689">
        <w:lastRenderedPageBreak/>
        <w:t xml:space="preserve">could jeopardize the rights and welfare of research participants or the integrity of the study data due to noncompliance with the protocol, Federal regulations, and/or the requirements of the </w:t>
      </w:r>
      <w:r w:rsidR="00075EDA">
        <w:t xml:space="preserve">NCI </w:t>
      </w:r>
      <w:r w:rsidRPr="00E45689">
        <w:t>CIRB.</w:t>
      </w:r>
    </w:p>
    <w:p w14:paraId="6205043F" w14:textId="77777777" w:rsidR="004B53A5" w:rsidRPr="00E45689" w:rsidRDefault="004B53A5" w:rsidP="00D453A5">
      <w:pPr>
        <w:pStyle w:val="NoSpacing"/>
        <w:rPr>
          <w:b/>
        </w:rPr>
      </w:pPr>
    </w:p>
    <w:p w14:paraId="4033CDF1" w14:textId="77777777" w:rsidR="0087379E" w:rsidRPr="00E45689" w:rsidRDefault="0087379E" w:rsidP="00D453A5">
      <w:pPr>
        <w:pStyle w:val="NoSpacing"/>
        <w:rPr>
          <w:b/>
        </w:rPr>
      </w:pPr>
      <w:r w:rsidRPr="00E45689">
        <w:rPr>
          <w:b/>
        </w:rPr>
        <w:t>GUIDELINES</w:t>
      </w:r>
    </w:p>
    <w:p w14:paraId="112403CE" w14:textId="543E10CF" w:rsidR="00472DE0" w:rsidRDefault="00472DE0" w:rsidP="00D453A5">
      <w:pPr>
        <w:pStyle w:val="NoSpacing"/>
      </w:pPr>
      <w:r w:rsidRPr="00E45689">
        <w:t xml:space="preserve">The Signatory Institution Principal Investigator is required to report serious adverse events and protocol deviations to the </w:t>
      </w:r>
      <w:r w:rsidR="00224042">
        <w:t>Research Base</w:t>
      </w:r>
      <w:r w:rsidRPr="00E45689">
        <w:t xml:space="preserve">, per the Group’s guidelines. These events are also reported to the </w:t>
      </w:r>
      <w:r w:rsidR="00075EDA">
        <w:t xml:space="preserve">NCI </w:t>
      </w:r>
      <w:r w:rsidRPr="00E45689">
        <w:t>CIRB when the Principal Investigator believes they represent a potential unanticipated problem or serious or continuing noncompliance.</w:t>
      </w:r>
    </w:p>
    <w:p w14:paraId="6C17A525" w14:textId="77777777" w:rsidR="00224042" w:rsidRPr="00E45689" w:rsidRDefault="00224042" w:rsidP="00D453A5">
      <w:pPr>
        <w:pStyle w:val="NoSpacing"/>
        <w:rPr>
          <w:b/>
        </w:rPr>
      </w:pPr>
    </w:p>
    <w:p w14:paraId="5C2C2E56" w14:textId="64867091" w:rsidR="0087379E" w:rsidRPr="00E45689" w:rsidRDefault="00CA38A7" w:rsidP="00224042">
      <w:pPr>
        <w:pStyle w:val="NoSpacing"/>
        <w:jc w:val="center"/>
      </w:pPr>
      <w:r w:rsidRPr="00E45689">
        <w:rPr>
          <w:rFonts w:ascii="TradeGothicLT-Light" w:hAnsi="TradeGothicLT-Light" w:cs="Helvetica"/>
          <w:noProof/>
          <w:color w:val="0D8843"/>
        </w:rPr>
        <w:drawing>
          <wp:inline distT="0" distB="0" distL="0" distR="0" wp14:anchorId="47B6FA64" wp14:editId="1C19A816">
            <wp:extent cx="4800147" cy="5803900"/>
            <wp:effectExtent l="0" t="0" r="0" b="0"/>
            <wp:docPr id="2" name="Picture 2" descr="https://www.ncicirb.org/sites/ncicirb/themes/ncicirb/images/ALGORITHM-TO-DETERMINE-REPORTING-TO-CIR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icirb.org/sites/ncicirb/themes/ncicirb/images/ALGORITHM-TO-DETERMINE-REPORTING-TO-CIRB.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584" cy="5820146"/>
                    </a:xfrm>
                    <a:prstGeom prst="rect">
                      <a:avLst/>
                    </a:prstGeom>
                    <a:noFill/>
                    <a:ln>
                      <a:noFill/>
                    </a:ln>
                  </pic:spPr>
                </pic:pic>
              </a:graphicData>
            </a:graphic>
          </wp:inline>
        </w:drawing>
      </w:r>
    </w:p>
    <w:p w14:paraId="11156B8C" w14:textId="597AD0FD" w:rsidR="00EF2166" w:rsidRPr="00E45689" w:rsidRDefault="000C507F" w:rsidP="0087379E">
      <w:pPr>
        <w:pStyle w:val="NoSpacing"/>
      </w:pPr>
      <w:r w:rsidRPr="00E45689">
        <w:rPr>
          <w:rFonts w:ascii="TradeGothicLT-Light" w:hAnsi="TradeGothicLT-Light" w:cs="Helvetica"/>
          <w:noProof/>
          <w:color w:val="0D8843"/>
        </w:rPr>
        <w:lastRenderedPageBreak/>
        <w:drawing>
          <wp:inline distT="0" distB="0" distL="0" distR="0" wp14:anchorId="73FBD9FA" wp14:editId="3823DCDB">
            <wp:extent cx="5926347" cy="6686321"/>
            <wp:effectExtent l="0" t="0" r="0" b="0"/>
            <wp:docPr id="3" name="Picture 3" descr="https://www.ncicirb.org/sites/ncicirb/themes/ncicirb/images/Algorithm-to-Assess-Noncomplianc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cicirb.org/sites/ncicirb/themes/ncicirb/images/Algorithm-to-Assess-Noncomplianc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619" cy="6688884"/>
                    </a:xfrm>
                    <a:prstGeom prst="rect">
                      <a:avLst/>
                    </a:prstGeom>
                    <a:noFill/>
                    <a:ln>
                      <a:noFill/>
                    </a:ln>
                  </pic:spPr>
                </pic:pic>
              </a:graphicData>
            </a:graphic>
          </wp:inline>
        </w:drawing>
      </w:r>
    </w:p>
    <w:p w14:paraId="3702A4C8" w14:textId="1F520D8A" w:rsidR="00224042" w:rsidRDefault="00224042">
      <w:r>
        <w:br w:type="page"/>
      </w:r>
    </w:p>
    <w:p w14:paraId="29DE2DCB" w14:textId="77777777" w:rsidR="00EF2166" w:rsidRPr="00E45689" w:rsidRDefault="00EF2166" w:rsidP="0087379E">
      <w:pPr>
        <w:pStyle w:val="NoSpacing"/>
      </w:pPr>
    </w:p>
    <w:p w14:paraId="078BFB25" w14:textId="35902784" w:rsidR="0087379E" w:rsidRPr="00E45689" w:rsidRDefault="00EF2166" w:rsidP="00EF2166">
      <w:pPr>
        <w:pStyle w:val="NoSpacing"/>
        <w:rPr>
          <w:b/>
        </w:rPr>
      </w:pPr>
      <w:r w:rsidRPr="00E45689">
        <w:rPr>
          <w:b/>
        </w:rPr>
        <w:t>PROCEDURES</w:t>
      </w:r>
    </w:p>
    <w:p w14:paraId="4B86551A" w14:textId="5AF25F12" w:rsidR="00741859" w:rsidRPr="00E45689" w:rsidRDefault="00E85CBA" w:rsidP="005512B7">
      <w:pPr>
        <w:spacing w:after="0" w:line="240" w:lineRule="auto"/>
        <w:rPr>
          <w:b/>
        </w:rPr>
      </w:pPr>
      <w:r w:rsidRPr="00E45689">
        <w:rPr>
          <w:b/>
        </w:rPr>
        <w:t>Affiliate Staff:</w:t>
      </w:r>
    </w:p>
    <w:p w14:paraId="660D3A7F" w14:textId="28DEFC87" w:rsidR="001C5C72" w:rsidRPr="00E45689" w:rsidRDefault="001C5C72" w:rsidP="00747E7D">
      <w:pPr>
        <w:pStyle w:val="ListParagraph"/>
        <w:numPr>
          <w:ilvl w:val="0"/>
          <w:numId w:val="9"/>
        </w:numPr>
      </w:pPr>
      <w:r w:rsidRPr="00E45689">
        <w:t>Research staff will determine reportable events using the guidelines above.</w:t>
      </w:r>
      <w:r w:rsidR="00E85CBA" w:rsidRPr="00E45689">
        <w:t xml:space="preserve">  If questions, the Consortium’s regulatory office can be consulted.</w:t>
      </w:r>
    </w:p>
    <w:p w14:paraId="4F523144" w14:textId="641F8417" w:rsidR="001C5C72" w:rsidRDefault="00747E7D" w:rsidP="00747E7D">
      <w:pPr>
        <w:pStyle w:val="ListParagraph"/>
        <w:numPr>
          <w:ilvl w:val="0"/>
          <w:numId w:val="9"/>
        </w:numPr>
      </w:pPr>
      <w:r w:rsidRPr="00E45689">
        <w:t xml:space="preserve">Research staff will </w:t>
      </w:r>
      <w:r w:rsidR="00CB7093" w:rsidRPr="00E45689">
        <w:t>fax or email the reporting worksheet to the</w:t>
      </w:r>
      <w:r w:rsidRPr="00E45689">
        <w:t xml:space="preserve"> Regulatory Office within 48 hours of discovery</w:t>
      </w:r>
      <w:r w:rsidR="00CB7093" w:rsidRPr="00E45689">
        <w:t xml:space="preserve"> of a reportable event</w:t>
      </w:r>
      <w:r w:rsidRPr="00E45689">
        <w:t xml:space="preserve">. </w:t>
      </w:r>
    </w:p>
    <w:p w14:paraId="281B5002" w14:textId="34F62510" w:rsidR="00B50B88" w:rsidRDefault="00B50B88" w:rsidP="00747E7D">
      <w:pPr>
        <w:pStyle w:val="ListParagraph"/>
        <w:numPr>
          <w:ilvl w:val="0"/>
          <w:numId w:val="9"/>
        </w:numPr>
      </w:pPr>
      <w:r w:rsidRPr="00E45689">
        <w:t>Regulator</w:t>
      </w:r>
      <w:r>
        <w:t>y</w:t>
      </w:r>
      <w:r w:rsidRPr="00E45689">
        <w:t xml:space="preserve"> staff will submit the reports to NCI CIRB electronically per NCI CIRB SOPs.</w:t>
      </w:r>
    </w:p>
    <w:p w14:paraId="61F8A75C" w14:textId="77777777" w:rsidR="00B50B88" w:rsidRPr="00E45689" w:rsidRDefault="00B50B88" w:rsidP="00B50B88">
      <w:pPr>
        <w:pStyle w:val="ListParagraph"/>
      </w:pPr>
    </w:p>
    <w:p w14:paraId="2AC129B5" w14:textId="7B731BAB" w:rsidR="00E85CBA" w:rsidRPr="00E45689" w:rsidRDefault="002C41C9" w:rsidP="00E85CBA">
      <w:r w:rsidRPr="00E45689">
        <w:rPr>
          <w:b/>
        </w:rPr>
        <w:t>Consortium</w:t>
      </w:r>
      <w:r w:rsidR="00E85CBA" w:rsidRPr="00E45689">
        <w:t xml:space="preserve"> </w:t>
      </w:r>
      <w:r w:rsidR="00E85CBA" w:rsidRPr="00E45689">
        <w:rPr>
          <w:b/>
        </w:rPr>
        <w:t>Staff:</w:t>
      </w:r>
    </w:p>
    <w:p w14:paraId="08ED650C" w14:textId="74EEA55D" w:rsidR="00306789" w:rsidRPr="00075EDA" w:rsidRDefault="00306789" w:rsidP="00E85CBA">
      <w:pPr>
        <w:pStyle w:val="ListParagraph"/>
        <w:numPr>
          <w:ilvl w:val="0"/>
          <w:numId w:val="10"/>
        </w:numPr>
      </w:pPr>
      <w:r w:rsidRPr="00075EDA">
        <w:t xml:space="preserve">Regulatory staff will </w:t>
      </w:r>
      <w:r w:rsidR="002C41C9" w:rsidRPr="00075EDA">
        <w:t xml:space="preserve">immediately </w:t>
      </w:r>
      <w:r w:rsidRPr="00075EDA">
        <w:t>notify</w:t>
      </w:r>
      <w:r w:rsidR="00E85CBA" w:rsidRPr="00075EDA">
        <w:t xml:space="preserve"> </w:t>
      </w:r>
      <w:r w:rsidR="002C41C9" w:rsidRPr="00075EDA">
        <w:t>Consortium Principal Investigators of unanticipated problems or continuing noncompliance that jeopardizes patient safety.</w:t>
      </w:r>
    </w:p>
    <w:p w14:paraId="732A4579" w14:textId="6AFFEE95" w:rsidR="00EF2166" w:rsidRPr="00E45689" w:rsidRDefault="00EF2166" w:rsidP="005512B7">
      <w:pPr>
        <w:spacing w:after="0" w:line="240" w:lineRule="auto"/>
      </w:pPr>
    </w:p>
    <w:p w14:paraId="7BD699E6" w14:textId="77777777" w:rsidR="004F0F52" w:rsidRPr="00E45689" w:rsidRDefault="00E0691E" w:rsidP="00D453A5">
      <w:pPr>
        <w:pStyle w:val="NoSpacing"/>
        <w:rPr>
          <w:b/>
        </w:rPr>
      </w:pPr>
      <w:r w:rsidRPr="00E45689">
        <w:rPr>
          <w:b/>
        </w:rPr>
        <w:t xml:space="preserve">REFERENCE: </w:t>
      </w:r>
    </w:p>
    <w:p w14:paraId="11E52254" w14:textId="2DA1308B" w:rsidR="00E0691E" w:rsidRPr="00E45689" w:rsidRDefault="00453CA0" w:rsidP="00D453A5">
      <w:pPr>
        <w:pStyle w:val="NoSpacing"/>
      </w:pPr>
      <w:r w:rsidRPr="00E45689">
        <w:t>45 CFR 46.10</w:t>
      </w:r>
      <w:r w:rsidR="00747E7D" w:rsidRPr="00E45689">
        <w:t>3(b)(5) and 21 CFR 56.108(b)(1)</w:t>
      </w:r>
    </w:p>
    <w:p w14:paraId="1A1E4FC2" w14:textId="17E6750F" w:rsidR="00475607" w:rsidRPr="00E45689" w:rsidRDefault="00475607" w:rsidP="00D453A5">
      <w:pPr>
        <w:pStyle w:val="NoSpacing"/>
        <w:rPr>
          <w:b/>
          <w:i/>
          <w:color w:val="FF0000"/>
        </w:rPr>
      </w:pPr>
      <w:r w:rsidRPr="00E45689">
        <w:t>NCI CIRB SOPs</w:t>
      </w:r>
    </w:p>
    <w:p w14:paraId="5340551A" w14:textId="77777777" w:rsidR="00EF2166" w:rsidRPr="00E45689" w:rsidRDefault="00EF2166" w:rsidP="00D453A5">
      <w:pPr>
        <w:pStyle w:val="NoSpacing"/>
        <w:rPr>
          <w:b/>
        </w:rPr>
      </w:pPr>
    </w:p>
    <w:p w14:paraId="7B7BA587" w14:textId="7469977A" w:rsidR="008B4B1B" w:rsidRPr="00E45689" w:rsidRDefault="008B4B1B" w:rsidP="00D453A5">
      <w:pPr>
        <w:pStyle w:val="NoSpacing"/>
        <w:rPr>
          <w:b/>
        </w:rPr>
      </w:pPr>
      <w:r w:rsidRPr="00E45689">
        <w:rPr>
          <w:b/>
        </w:rPr>
        <w:t xml:space="preserve">ASSOCIATED FORMS:  </w:t>
      </w:r>
    </w:p>
    <w:p w14:paraId="518A1923" w14:textId="5012B020" w:rsidR="008B4B1B" w:rsidRPr="00E45689" w:rsidRDefault="004B53A5" w:rsidP="00D453A5">
      <w:pPr>
        <w:pStyle w:val="NoSpacing"/>
      </w:pPr>
      <w:r w:rsidRPr="00E45689">
        <w:t>Unanticipated Problem and/or Noncompliance Reporting Worksheet</w:t>
      </w:r>
      <w:r w:rsidR="00601241">
        <w:t xml:space="preserve"> (CIRB)</w:t>
      </w:r>
    </w:p>
    <w:p w14:paraId="15E17366" w14:textId="77777777" w:rsidR="00D453A5" w:rsidRPr="00E45689" w:rsidRDefault="00D453A5" w:rsidP="00D453A5">
      <w:pPr>
        <w:pStyle w:val="NoSpacing"/>
        <w:rPr>
          <w:i/>
        </w:rPr>
      </w:pPr>
    </w:p>
    <w:p w14:paraId="39F33F8A" w14:textId="77777777" w:rsidR="008B4B1B" w:rsidRPr="00E45689" w:rsidRDefault="008B4B1B" w:rsidP="00D453A5">
      <w:pPr>
        <w:pStyle w:val="NoSpacing"/>
        <w:rPr>
          <w:b/>
        </w:rPr>
      </w:pPr>
      <w:r w:rsidRPr="00E45689">
        <w:rPr>
          <w:b/>
        </w:rPr>
        <w:t xml:space="preserve">COMMITTEE APPROVAL:  </w:t>
      </w:r>
    </w:p>
    <w:p w14:paraId="43D95338" w14:textId="3D2A740D" w:rsidR="008B4B1B" w:rsidRPr="00E45689" w:rsidRDefault="00AC3FCE" w:rsidP="00D453A5">
      <w:pPr>
        <w:pStyle w:val="NoSpacing"/>
      </w:pPr>
      <w:r w:rsidRPr="00E45689">
        <w:t xml:space="preserve">UC </w:t>
      </w:r>
      <w:r w:rsidR="008B4B1B" w:rsidRPr="00E45689">
        <w:t xml:space="preserve">Policy </w:t>
      </w:r>
      <w:r w:rsidR="00087594" w:rsidRPr="00E45689">
        <w:t>and</w:t>
      </w:r>
      <w:r w:rsidR="008B4B1B" w:rsidRPr="00E45689">
        <w:t xml:space="preserve"> Procedure Committee</w:t>
      </w:r>
    </w:p>
    <w:p w14:paraId="288FFAC1" w14:textId="4B19D76E" w:rsidR="005E1E7A" w:rsidRPr="00E45689" w:rsidRDefault="005E1E7A"/>
    <w:sectPr w:rsidR="005E1E7A" w:rsidRPr="00E45689" w:rsidSect="00E0691E">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D2FF" w14:textId="77777777" w:rsidR="001A71EC" w:rsidRDefault="001A71EC" w:rsidP="005D48B1">
      <w:pPr>
        <w:spacing w:after="0" w:line="240" w:lineRule="auto"/>
      </w:pPr>
      <w:r>
        <w:separator/>
      </w:r>
    </w:p>
  </w:endnote>
  <w:endnote w:type="continuationSeparator" w:id="0">
    <w:p w14:paraId="44FCF276" w14:textId="77777777" w:rsidR="001A71EC" w:rsidRDefault="001A71EC"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LT-Ligh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176A51AD"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124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1241">
              <w:rPr>
                <w:b/>
                <w:bCs/>
                <w:noProof/>
              </w:rPr>
              <w:t>4</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6C3535FB" w:rsidR="00D23BC4" w:rsidRDefault="00D23BC4">
        <w:pPr>
          <w:pStyle w:val="Footer"/>
          <w:jc w:val="center"/>
        </w:pPr>
        <w:r>
          <w:fldChar w:fldCharType="begin"/>
        </w:r>
        <w:r>
          <w:instrText xml:space="preserve"> PAGE   \* MERGEFORMAT </w:instrText>
        </w:r>
        <w:r>
          <w:fldChar w:fldCharType="separate"/>
        </w:r>
        <w:r w:rsidR="00601241">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59C8" w14:textId="77777777" w:rsidR="001A71EC" w:rsidRDefault="001A71EC" w:rsidP="005D48B1">
      <w:pPr>
        <w:spacing w:after="0" w:line="240" w:lineRule="auto"/>
      </w:pPr>
      <w:r>
        <w:separator/>
      </w:r>
    </w:p>
  </w:footnote>
  <w:footnote w:type="continuationSeparator" w:id="0">
    <w:p w14:paraId="5BB6C8B0" w14:textId="77777777" w:rsidR="001A71EC" w:rsidRDefault="001A71EC"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11883C22" w14:textId="38AEFE6A" w:rsidR="00741859" w:rsidRPr="00224042" w:rsidRDefault="00224042" w:rsidP="00224042">
          <w:pPr>
            <w:pStyle w:val="Header"/>
            <w:rPr>
              <w:rFonts w:ascii="Calibri" w:hAnsi="Calibri"/>
              <w:b/>
              <w:sz w:val="8"/>
            </w:rPr>
          </w:pPr>
          <w:r w:rsidRPr="00224042">
            <w:rPr>
              <w:rFonts w:ascii="Calibri" w:hAnsi="Calibri"/>
              <w:b/>
              <w:noProof/>
              <w:sz w:val="8"/>
            </w:rPr>
            <w:drawing>
              <wp:inline distT="0" distB="0" distL="0" distR="0" wp14:anchorId="2DEFD696" wp14:editId="650814A7">
                <wp:extent cx="2446020" cy="789940"/>
                <wp:effectExtent l="0" t="0" r="0" b="0"/>
                <wp:docPr id="4"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176395D9" w:rsidR="00741859" w:rsidRPr="000B2F43" w:rsidRDefault="00741859" w:rsidP="00E45689">
          <w:pPr>
            <w:pStyle w:val="Header"/>
            <w:jc w:val="right"/>
            <w:rPr>
              <w:rFonts w:ascii="Calibri" w:hAnsi="Calibri"/>
              <w:sz w:val="28"/>
            </w:rPr>
          </w:pPr>
          <w:r w:rsidRPr="000B2F43">
            <w:rPr>
              <w:rFonts w:ascii="Calibri" w:hAnsi="Calibri"/>
            </w:rPr>
            <w:t xml:space="preserve">Policy #: </w:t>
          </w:r>
          <w:r w:rsidR="0087379E">
            <w:rPr>
              <w:rFonts w:ascii="Calibri" w:hAnsi="Calibri"/>
            </w:rPr>
            <w:t xml:space="preserve"> </w:t>
          </w:r>
          <w:r w:rsidR="00E45689">
            <w:rPr>
              <w:rFonts w:ascii="Calibri" w:hAnsi="Calibri"/>
            </w:rPr>
            <w:t>4</w:t>
          </w:r>
          <w:r w:rsidR="00224042">
            <w:rPr>
              <w:rFonts w:ascii="Calibri" w:hAnsi="Calibri"/>
            </w:rPr>
            <w:t>005</w:t>
          </w:r>
          <w:r w:rsidRPr="000B2F43">
            <w:rPr>
              <w:rFonts w:ascii="Calibri" w:hAnsi="Calibri"/>
            </w:rPr>
            <w:t xml:space="preserve"> </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4D9CBA96" w:rsidR="00741859" w:rsidRPr="00224042" w:rsidRDefault="00741859" w:rsidP="000B2F43">
          <w:pPr>
            <w:pStyle w:val="Header"/>
            <w:rPr>
              <w:rFonts w:ascii="Calibri" w:hAnsi="Calibri"/>
              <w:b/>
              <w:bCs/>
              <w:sz w:val="24"/>
              <w:szCs w:val="24"/>
            </w:rPr>
          </w:pPr>
          <w:r w:rsidRPr="00224042">
            <w:rPr>
              <w:rFonts w:ascii="Calibri" w:hAnsi="Calibri"/>
              <w:b/>
              <w:bCs/>
              <w:sz w:val="24"/>
              <w:szCs w:val="24"/>
            </w:rPr>
            <w:t xml:space="preserve">Title: </w:t>
          </w:r>
          <w:r w:rsidR="000B2F43" w:rsidRPr="00224042">
            <w:rPr>
              <w:rFonts w:ascii="Calibri" w:hAnsi="Calibri"/>
              <w:b/>
              <w:bCs/>
              <w:sz w:val="24"/>
              <w:szCs w:val="24"/>
            </w:rPr>
            <w:t xml:space="preserve"> </w:t>
          </w:r>
          <w:r w:rsidR="00E45689" w:rsidRPr="00224042">
            <w:rPr>
              <w:rFonts w:ascii="Calibri" w:eastAsia="Times New Roman" w:hAnsi="Calibri" w:cs="Times New Roman"/>
              <w:b/>
              <w:bCs/>
              <w:sz w:val="24"/>
              <w:szCs w:val="24"/>
            </w:rPr>
            <w:t>Report</w:t>
          </w:r>
          <w:r w:rsidR="009073F2">
            <w:rPr>
              <w:rFonts w:ascii="Calibri" w:eastAsia="Times New Roman" w:hAnsi="Calibri" w:cs="Times New Roman"/>
              <w:b/>
              <w:bCs/>
              <w:sz w:val="24"/>
              <w:szCs w:val="24"/>
            </w:rPr>
            <w:t>ing of Unanticipated Problem &amp;</w:t>
          </w:r>
          <w:r w:rsidR="00E45689" w:rsidRPr="00224042">
            <w:rPr>
              <w:rFonts w:ascii="Calibri" w:eastAsia="Times New Roman" w:hAnsi="Calibri" w:cs="Times New Roman"/>
              <w:b/>
              <w:bCs/>
              <w:sz w:val="24"/>
              <w:szCs w:val="24"/>
            </w:rPr>
            <w:t xml:space="preserve"> Serious or Continuing Noncompliance to NCI CIRB</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10"/>
      <w:gridCol w:w="2751"/>
    </w:tblGrid>
    <w:tr w:rsidR="00B83FAC" w:rsidRPr="005D48B1" w14:paraId="316FE7EB" w14:textId="77777777" w:rsidTr="00E436A5">
      <w:trPr>
        <w:trHeight w:val="350"/>
      </w:trPr>
      <w:tc>
        <w:tcPr>
          <w:tcW w:w="4248" w:type="dxa"/>
          <w:vMerge w:val="restart"/>
          <w:shd w:val="clear" w:color="auto" w:fill="auto"/>
        </w:tcPr>
        <w:p w14:paraId="2A138A9A"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8"/>
              <w:szCs w:val="24"/>
            </w:rPr>
          </w:pPr>
        </w:p>
        <w:p w14:paraId="4AB90B23"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b/>
              <w:sz w:val="8"/>
              <w:szCs w:val="24"/>
            </w:rPr>
          </w:pPr>
        </w:p>
        <w:p w14:paraId="20B2B179" w14:textId="7E8F1ECA" w:rsidR="00B83FAC" w:rsidRPr="00224042" w:rsidRDefault="00224042" w:rsidP="00224042">
          <w:pPr>
            <w:tabs>
              <w:tab w:val="center" w:pos="4320"/>
              <w:tab w:val="right" w:pos="8640"/>
            </w:tabs>
            <w:spacing w:after="0" w:line="240" w:lineRule="auto"/>
            <w:jc w:val="center"/>
            <w:rPr>
              <w:rFonts w:ascii="Calibri" w:eastAsia="Times New Roman" w:hAnsi="Calibri" w:cs="Times New Roman"/>
              <w:b/>
              <w:sz w:val="8"/>
              <w:szCs w:val="24"/>
            </w:rPr>
          </w:pPr>
          <w:r w:rsidRPr="00224042">
            <w:rPr>
              <w:rFonts w:ascii="Calibri" w:eastAsia="Times New Roman" w:hAnsi="Calibri" w:cs="Times New Roman"/>
              <w:b/>
              <w:noProof/>
              <w:sz w:val="8"/>
              <w:szCs w:val="24"/>
            </w:rPr>
            <w:drawing>
              <wp:inline distT="0" distB="0" distL="0" distR="0" wp14:anchorId="43F1AF75" wp14:editId="3099278D">
                <wp:extent cx="2466870" cy="797205"/>
                <wp:effectExtent l="0" t="0" r="0" b="3175"/>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327" cy="799292"/>
                        </a:xfrm>
                        <a:prstGeom prst="rect">
                          <a:avLst/>
                        </a:prstGeom>
                        <a:noFill/>
                        <a:ln>
                          <a:noFill/>
                        </a:ln>
                      </pic:spPr>
                    </pic:pic>
                  </a:graphicData>
                </a:graphic>
              </wp:inline>
            </w:drawing>
          </w:r>
        </w:p>
      </w:tc>
      <w:tc>
        <w:tcPr>
          <w:tcW w:w="5361" w:type="dxa"/>
          <w:gridSpan w:val="2"/>
          <w:shd w:val="clear" w:color="auto" w:fill="auto"/>
        </w:tcPr>
        <w:p w14:paraId="024F25F5" w14:textId="3625285E"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E436A5">
      <w:trPr>
        <w:trHeight w:val="350"/>
      </w:trPr>
      <w:tc>
        <w:tcPr>
          <w:tcW w:w="4248"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361" w:type="dxa"/>
          <w:gridSpan w:val="2"/>
          <w:shd w:val="clear" w:color="auto" w:fill="auto"/>
        </w:tcPr>
        <w:p w14:paraId="651F704D" w14:textId="301A1D6B" w:rsidR="00B83FAC" w:rsidRPr="00B83FAC" w:rsidRDefault="00B83FAC" w:rsidP="000C507F">
          <w:pPr>
            <w:tabs>
              <w:tab w:val="center" w:pos="4320"/>
              <w:tab w:val="right" w:pos="8640"/>
            </w:tabs>
            <w:spacing w:after="0" w:line="240" w:lineRule="auto"/>
            <w:rPr>
              <w:rFonts w:ascii="Calibri" w:eastAsia="Times New Roman" w:hAnsi="Calibri" w:cs="Times New Roman"/>
              <w:b/>
              <w:sz w:val="28"/>
              <w:szCs w:val="28"/>
            </w:rPr>
          </w:pPr>
          <w:r w:rsidRPr="00224042">
            <w:rPr>
              <w:rFonts w:ascii="Calibri" w:eastAsia="Times New Roman" w:hAnsi="Calibri" w:cs="Times New Roman"/>
              <w:b/>
              <w:bCs/>
              <w:sz w:val="24"/>
              <w:szCs w:val="24"/>
            </w:rPr>
            <w:t>Title:</w:t>
          </w:r>
          <w:r w:rsidRPr="00B83FAC">
            <w:rPr>
              <w:rFonts w:ascii="Calibri" w:eastAsia="Times New Roman" w:hAnsi="Calibri" w:cs="Times New Roman"/>
            </w:rPr>
            <w:t xml:space="preserve"> </w:t>
          </w:r>
          <w:r w:rsidR="000C507F" w:rsidRPr="00224042">
            <w:rPr>
              <w:rFonts w:ascii="Calibri" w:eastAsia="Times New Roman" w:hAnsi="Calibri" w:cs="Times New Roman"/>
              <w:b/>
              <w:bCs/>
              <w:sz w:val="24"/>
              <w:szCs w:val="24"/>
            </w:rPr>
            <w:t xml:space="preserve">Reporting of </w:t>
          </w:r>
          <w:r w:rsidR="00CA38A7" w:rsidRPr="00224042">
            <w:rPr>
              <w:rFonts w:ascii="Calibri" w:eastAsia="Times New Roman" w:hAnsi="Calibri" w:cs="Times New Roman"/>
              <w:b/>
              <w:bCs/>
              <w:sz w:val="24"/>
              <w:szCs w:val="24"/>
            </w:rPr>
            <w:t xml:space="preserve">Unanticipated Problem </w:t>
          </w:r>
          <w:r w:rsidR="009073F2">
            <w:rPr>
              <w:rFonts w:ascii="Calibri" w:eastAsia="Times New Roman" w:hAnsi="Calibri" w:cs="Times New Roman"/>
              <w:b/>
              <w:bCs/>
              <w:sz w:val="24"/>
              <w:szCs w:val="24"/>
            </w:rPr>
            <w:t>&amp;</w:t>
          </w:r>
          <w:r w:rsidR="00C15C3A" w:rsidRPr="00224042">
            <w:rPr>
              <w:rFonts w:ascii="Calibri" w:eastAsia="Times New Roman" w:hAnsi="Calibri" w:cs="Times New Roman"/>
              <w:b/>
              <w:bCs/>
              <w:sz w:val="24"/>
              <w:szCs w:val="24"/>
            </w:rPr>
            <w:t xml:space="preserve"> Serious or </w:t>
          </w:r>
          <w:r w:rsidR="000C507F" w:rsidRPr="00224042">
            <w:rPr>
              <w:rFonts w:ascii="Calibri" w:eastAsia="Times New Roman" w:hAnsi="Calibri" w:cs="Times New Roman"/>
              <w:b/>
              <w:bCs/>
              <w:sz w:val="24"/>
              <w:szCs w:val="24"/>
            </w:rPr>
            <w:t>Continuing Noncompliance</w:t>
          </w:r>
          <w:r w:rsidR="004B53A5" w:rsidRPr="00224042">
            <w:rPr>
              <w:rFonts w:ascii="Calibri" w:eastAsia="Times New Roman" w:hAnsi="Calibri" w:cs="Times New Roman"/>
              <w:b/>
              <w:bCs/>
              <w:sz w:val="24"/>
              <w:szCs w:val="24"/>
            </w:rPr>
            <w:t xml:space="preserve"> to NCI CIRB</w:t>
          </w:r>
        </w:p>
      </w:tc>
    </w:tr>
    <w:tr w:rsidR="00B83FAC" w:rsidRPr="00224042" w14:paraId="5F96F94E" w14:textId="77777777" w:rsidTr="00E436A5">
      <w:trPr>
        <w:trHeight w:val="440"/>
      </w:trPr>
      <w:tc>
        <w:tcPr>
          <w:tcW w:w="4248"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19BF3D15" w14:textId="77777777" w:rsidR="0087379E"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7065D5E6" w:rsidR="00B83FAC" w:rsidRPr="00B83FAC" w:rsidRDefault="00224042" w:rsidP="00E436A5">
          <w:pPr>
            <w:tabs>
              <w:tab w:val="center" w:pos="4320"/>
              <w:tab w:val="right" w:pos="8640"/>
            </w:tabs>
            <w:spacing w:after="0" w:line="240" w:lineRule="auto"/>
            <w:rPr>
              <w:rFonts w:ascii="Calibri" w:eastAsia="Times New Roman" w:hAnsi="Calibri" w:cs="Times New Roman"/>
              <w:sz w:val="24"/>
              <w:szCs w:val="24"/>
            </w:rPr>
          </w:pPr>
          <w:r w:rsidRPr="00224042">
            <w:rPr>
              <w:rFonts w:ascii="Calibri" w:eastAsia="Times New Roman" w:hAnsi="Calibri" w:cs="Times New Roman"/>
              <w:sz w:val="24"/>
              <w:szCs w:val="24"/>
            </w:rPr>
            <w:t>08/01/2019</w:t>
          </w:r>
          <w:r w:rsidR="00B83FAC" w:rsidRPr="00224042">
            <w:rPr>
              <w:rFonts w:ascii="Calibri" w:eastAsia="Times New Roman" w:hAnsi="Calibri" w:cs="Times New Roman"/>
              <w:sz w:val="24"/>
              <w:szCs w:val="24"/>
            </w:rPr>
            <w:t xml:space="preserve"> </w:t>
          </w:r>
        </w:p>
      </w:tc>
      <w:tc>
        <w:tcPr>
          <w:tcW w:w="2751" w:type="dxa"/>
          <w:shd w:val="clear" w:color="auto" w:fill="auto"/>
        </w:tcPr>
        <w:p w14:paraId="2F515E2F" w14:textId="65071C0B" w:rsidR="00B83FAC" w:rsidRPr="00224042" w:rsidRDefault="00B83FAC" w:rsidP="00E0691E">
          <w:pPr>
            <w:tabs>
              <w:tab w:val="center" w:pos="4320"/>
              <w:tab w:val="right" w:pos="8640"/>
            </w:tabs>
            <w:spacing w:after="0" w:line="240" w:lineRule="auto"/>
            <w:rPr>
              <w:rFonts w:ascii="Calibri" w:eastAsia="Times New Roman" w:hAnsi="Calibri" w:cs="Times New Roman"/>
              <w:sz w:val="24"/>
              <w:szCs w:val="24"/>
            </w:rPr>
          </w:pPr>
          <w:r w:rsidRPr="00224042">
            <w:rPr>
              <w:rFonts w:ascii="Calibri" w:eastAsia="Times New Roman" w:hAnsi="Calibri" w:cs="Times New Roman"/>
              <w:sz w:val="24"/>
              <w:szCs w:val="24"/>
            </w:rPr>
            <w:t xml:space="preserve">Policy #: </w:t>
          </w:r>
          <w:r w:rsidR="00224042">
            <w:rPr>
              <w:rFonts w:ascii="Calibri" w:eastAsia="Times New Roman" w:hAnsi="Calibri" w:cs="Times New Roman"/>
              <w:sz w:val="24"/>
              <w:szCs w:val="24"/>
            </w:rPr>
            <w:t>4005</w:t>
          </w:r>
        </w:p>
      </w:tc>
    </w:tr>
    <w:tr w:rsidR="00B83FAC" w:rsidRPr="005D48B1" w14:paraId="1CA2AA06" w14:textId="77777777" w:rsidTr="00E436A5">
      <w:tc>
        <w:tcPr>
          <w:tcW w:w="4248"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662F1A9D" w:rsidR="00B83FAC" w:rsidRPr="00B83FAC" w:rsidRDefault="00B83FAC" w:rsidP="00E0691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87379E">
            <w:rPr>
              <w:rFonts w:ascii="Calibri" w:eastAsia="Times New Roman" w:hAnsi="Calibri" w:cs="Times New Roman"/>
              <w:sz w:val="24"/>
              <w:szCs w:val="24"/>
            </w:rPr>
            <w:t xml:space="preserve"> </w:t>
          </w:r>
          <w:r w:rsidR="00E43DAA">
            <w:rPr>
              <w:rFonts w:ascii="Calibri" w:eastAsia="Times New Roman" w:hAnsi="Calibri" w:cs="Times New Roman"/>
              <w:sz w:val="24"/>
              <w:szCs w:val="24"/>
            </w:rPr>
            <w:t>01/15/2020</w:t>
          </w:r>
        </w:p>
      </w:tc>
      <w:tc>
        <w:tcPr>
          <w:tcW w:w="2751" w:type="dxa"/>
          <w:shd w:val="clear" w:color="auto" w:fill="auto"/>
        </w:tcPr>
        <w:p w14:paraId="2477A286" w14:textId="0E1932C4" w:rsidR="00B83FAC" w:rsidRPr="00B83FAC" w:rsidRDefault="00B83FAC" w:rsidP="00E0691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87379E">
            <w:rPr>
              <w:rFonts w:ascii="Calibri" w:eastAsia="Times New Roman" w:hAnsi="Calibri" w:cs="Times New Roman"/>
              <w:sz w:val="24"/>
              <w:szCs w:val="24"/>
            </w:rPr>
            <w:t xml:space="preserve"> </w:t>
          </w:r>
          <w:r w:rsidR="009073F2">
            <w:rPr>
              <w:rFonts w:ascii="Calibri" w:eastAsia="Times New Roman" w:hAnsi="Calibri" w:cs="Times New Roman"/>
              <w:sz w:val="24"/>
              <w:szCs w:val="24"/>
            </w:rPr>
            <w:t>8/9/19</w:t>
          </w:r>
        </w:p>
      </w:tc>
    </w:tr>
    <w:tr w:rsidR="00741859" w:rsidRPr="005D48B1" w14:paraId="61F6D4CC" w14:textId="77777777" w:rsidTr="00224042">
      <w:trPr>
        <w:trHeight w:val="206"/>
      </w:trPr>
      <w:tc>
        <w:tcPr>
          <w:tcW w:w="9609" w:type="dxa"/>
          <w:gridSpan w:val="3"/>
          <w:shd w:val="clear" w:color="auto" w:fill="auto"/>
        </w:tcPr>
        <w:p w14:paraId="27617CA0" w14:textId="36365287" w:rsidR="00741859" w:rsidRPr="00B83FAC" w:rsidRDefault="00B83FAC" w:rsidP="004B53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xml:space="preserve">: </w:t>
          </w:r>
          <w:r w:rsidR="004B53A5">
            <w:rPr>
              <w:rFonts w:ascii="Calibri" w:eastAsia="Times New Roman" w:hAnsi="Calibri" w:cs="Times New Roman"/>
              <w:sz w:val="24"/>
              <w:szCs w:val="24"/>
            </w:rPr>
            <w:t>Regulatory</w:t>
          </w:r>
        </w:p>
      </w:tc>
    </w:tr>
    <w:tr w:rsidR="00741859" w:rsidRPr="005D48B1" w14:paraId="41511F19" w14:textId="77777777" w:rsidTr="00E436A5">
      <w:tc>
        <w:tcPr>
          <w:tcW w:w="9609" w:type="dxa"/>
          <w:gridSpan w:val="3"/>
          <w:shd w:val="clear" w:color="auto" w:fill="auto"/>
        </w:tcPr>
        <w:p w14:paraId="554E8BAC" w14:textId="789C6747" w:rsidR="00741859" w:rsidRPr="00B83FAC" w:rsidRDefault="00E0691E" w:rsidP="00E0691E">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R</w:t>
          </w:r>
          <w:r w:rsidR="00741859" w:rsidRPr="00B83FAC">
            <w:rPr>
              <w:rFonts w:ascii="Calibri" w:eastAsia="Times New Roman" w:hAnsi="Calibri" w:cs="Times New Roman"/>
              <w:sz w:val="24"/>
              <w:szCs w:val="24"/>
            </w:rPr>
            <w:t xml:space="preserve">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B4DB7"/>
    <w:multiLevelType w:val="hybridMultilevel"/>
    <w:tmpl w:val="49F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23FB1"/>
    <w:multiLevelType w:val="hybridMultilevel"/>
    <w:tmpl w:val="6420AE42"/>
    <w:lvl w:ilvl="0" w:tplc="5EC29A14">
      <w:start w:val="4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F463D"/>
    <w:multiLevelType w:val="hybridMultilevel"/>
    <w:tmpl w:val="6BF05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93F4B"/>
    <w:multiLevelType w:val="hybridMultilevel"/>
    <w:tmpl w:val="33E66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5143D"/>
    <w:multiLevelType w:val="hybridMultilevel"/>
    <w:tmpl w:val="2368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63C6B"/>
    <w:multiLevelType w:val="hybridMultilevel"/>
    <w:tmpl w:val="442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E488A"/>
    <w:multiLevelType w:val="hybridMultilevel"/>
    <w:tmpl w:val="5502A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D33FF"/>
    <w:multiLevelType w:val="hybridMultilevel"/>
    <w:tmpl w:val="DDC67F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592877"/>
    <w:multiLevelType w:val="hybridMultilevel"/>
    <w:tmpl w:val="0952E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4572A"/>
    <w:multiLevelType w:val="hybridMultilevel"/>
    <w:tmpl w:val="33E66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8"/>
  </w:num>
  <w:num w:numId="6">
    <w:abstractNumId w:val="7"/>
  </w:num>
  <w:num w:numId="7">
    <w:abstractNumId w:val="2"/>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8B1"/>
    <w:rsid w:val="00013484"/>
    <w:rsid w:val="00075EDA"/>
    <w:rsid w:val="00087594"/>
    <w:rsid w:val="00087AB4"/>
    <w:rsid w:val="000B2F43"/>
    <w:rsid w:val="000B411B"/>
    <w:rsid w:val="000C507F"/>
    <w:rsid w:val="000C71D6"/>
    <w:rsid w:val="000D529B"/>
    <w:rsid w:val="000F3E87"/>
    <w:rsid w:val="0011466B"/>
    <w:rsid w:val="0013061A"/>
    <w:rsid w:val="001521F9"/>
    <w:rsid w:val="001A71EC"/>
    <w:rsid w:val="001C5C72"/>
    <w:rsid w:val="001E5E89"/>
    <w:rsid w:val="00224042"/>
    <w:rsid w:val="00271F2A"/>
    <w:rsid w:val="002C1EC2"/>
    <w:rsid w:val="002C2A81"/>
    <w:rsid w:val="002C41C9"/>
    <w:rsid w:val="00306789"/>
    <w:rsid w:val="003710A5"/>
    <w:rsid w:val="00424D45"/>
    <w:rsid w:val="00453CA0"/>
    <w:rsid w:val="00472DE0"/>
    <w:rsid w:val="00475607"/>
    <w:rsid w:val="004A47BE"/>
    <w:rsid w:val="004B53A5"/>
    <w:rsid w:val="004F0F52"/>
    <w:rsid w:val="004F6B5E"/>
    <w:rsid w:val="00532FCC"/>
    <w:rsid w:val="005512B7"/>
    <w:rsid w:val="005D48B1"/>
    <w:rsid w:val="005E1E7A"/>
    <w:rsid w:val="00601241"/>
    <w:rsid w:val="00694C33"/>
    <w:rsid w:val="006B4312"/>
    <w:rsid w:val="006E5C09"/>
    <w:rsid w:val="00733CD8"/>
    <w:rsid w:val="00741859"/>
    <w:rsid w:val="007461CB"/>
    <w:rsid w:val="00747E7D"/>
    <w:rsid w:val="00801687"/>
    <w:rsid w:val="0087379E"/>
    <w:rsid w:val="008B4B1B"/>
    <w:rsid w:val="009073F2"/>
    <w:rsid w:val="009505D6"/>
    <w:rsid w:val="00A34C0E"/>
    <w:rsid w:val="00A52A71"/>
    <w:rsid w:val="00A52FED"/>
    <w:rsid w:val="00A652CC"/>
    <w:rsid w:val="00A851C8"/>
    <w:rsid w:val="00AA68FA"/>
    <w:rsid w:val="00AB71EC"/>
    <w:rsid w:val="00AC01C2"/>
    <w:rsid w:val="00AC3FCE"/>
    <w:rsid w:val="00AD70B7"/>
    <w:rsid w:val="00B234CB"/>
    <w:rsid w:val="00B26D39"/>
    <w:rsid w:val="00B50B88"/>
    <w:rsid w:val="00B83FAC"/>
    <w:rsid w:val="00BC2FEB"/>
    <w:rsid w:val="00C15C3A"/>
    <w:rsid w:val="00C74B4F"/>
    <w:rsid w:val="00C94EC7"/>
    <w:rsid w:val="00CA38A7"/>
    <w:rsid w:val="00CB7093"/>
    <w:rsid w:val="00CC0A38"/>
    <w:rsid w:val="00D23BC4"/>
    <w:rsid w:val="00D302A1"/>
    <w:rsid w:val="00D453A5"/>
    <w:rsid w:val="00D55C56"/>
    <w:rsid w:val="00E0691E"/>
    <w:rsid w:val="00E20975"/>
    <w:rsid w:val="00E43DAA"/>
    <w:rsid w:val="00E45689"/>
    <w:rsid w:val="00E85CBA"/>
    <w:rsid w:val="00E92A48"/>
    <w:rsid w:val="00EF2166"/>
    <w:rsid w:val="00EF2DC1"/>
    <w:rsid w:val="00FA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F02F5A"/>
  <w15:docId w15:val="{2683ED41-0D71-4E6E-A24F-3973FA80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87379E"/>
    <w:pPr>
      <w:spacing w:after="0" w:line="240" w:lineRule="auto"/>
      <w:ind w:left="720"/>
      <w:contextualSpacing/>
    </w:pPr>
  </w:style>
  <w:style w:type="paragraph" w:styleId="NoSpacing">
    <w:name w:val="No Spacing"/>
    <w:uiPriority w:val="1"/>
    <w:qFormat/>
    <w:rsid w:val="0087379E"/>
    <w:pPr>
      <w:spacing w:after="0" w:line="240" w:lineRule="auto"/>
    </w:pPr>
  </w:style>
  <w:style w:type="paragraph" w:styleId="NormalWeb">
    <w:name w:val="Normal (Web)"/>
    <w:basedOn w:val="Normal"/>
    <w:uiPriority w:val="99"/>
    <w:semiHidden/>
    <w:unhideWhenUsed/>
    <w:rsid w:val="00E0691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F0F52"/>
    <w:rPr>
      <w:color w:val="0000FF" w:themeColor="hyperlink"/>
      <w:u w:val="single"/>
    </w:rPr>
  </w:style>
  <w:style w:type="paragraph" w:customStyle="1" w:styleId="Default">
    <w:name w:val="Default"/>
    <w:rsid w:val="00472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cicirb.org/institutions/institution-quickguides/managing-study/algorithm-to-assess-a-potential-unanticipated-proble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ncicirb.org/institutions/institution-quickguides/managing-study/algorithm-to-assess-noncompli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12</cp:revision>
  <cp:lastPrinted>2019-01-08T16:05:00Z</cp:lastPrinted>
  <dcterms:created xsi:type="dcterms:W3CDTF">2019-01-16T15:49:00Z</dcterms:created>
  <dcterms:modified xsi:type="dcterms:W3CDTF">2020-01-15T22:53:00Z</dcterms:modified>
</cp:coreProperties>
</file>