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551C" w14:textId="77777777" w:rsidR="006E44C9" w:rsidRPr="00970E49" w:rsidRDefault="006E44C9" w:rsidP="006E44C9">
      <w:pPr>
        <w:pStyle w:val="NoSpacing"/>
        <w:rPr>
          <w:b/>
          <w:u w:val="single"/>
        </w:rPr>
      </w:pPr>
      <w:r w:rsidRPr="00970E49">
        <w:rPr>
          <w:b/>
          <w:u w:val="single"/>
        </w:rPr>
        <w:t>POLICY</w:t>
      </w:r>
      <w:bookmarkStart w:id="0" w:name="_GoBack"/>
      <w:bookmarkEnd w:id="0"/>
    </w:p>
    <w:p w14:paraId="31398EC9" w14:textId="1BDE799B" w:rsidR="00DF37E2" w:rsidRPr="000A2734" w:rsidRDefault="006E44C9" w:rsidP="00DF37E2">
      <w:pPr>
        <w:pStyle w:val="NoSpacing"/>
        <w:rPr>
          <w:rFonts w:eastAsia="Times New Roman"/>
          <w:bCs/>
          <w:color w:val="000000"/>
        </w:rPr>
      </w:pPr>
      <w:r>
        <w:t xml:space="preserve">It is the policy of the </w:t>
      </w:r>
      <w:r w:rsidR="0003502E">
        <w:t>Upstate Carolina NCORP</w:t>
      </w:r>
      <w:r>
        <w:t xml:space="preserve"> (UC-NCORP) to </w:t>
      </w:r>
      <w:r w:rsidR="00DF37E2">
        <w:rPr>
          <w:rFonts w:eastAsia="Times New Roman"/>
          <w:bCs/>
          <w:color w:val="000000"/>
        </w:rPr>
        <w:t>en</w:t>
      </w:r>
      <w:r w:rsidR="00DF37E2" w:rsidRPr="000A2734">
        <w:rPr>
          <w:rFonts w:eastAsia="Times New Roman"/>
          <w:bCs/>
          <w:color w:val="000000"/>
        </w:rPr>
        <w:t xml:space="preserve">sure invoices received by </w:t>
      </w:r>
      <w:r w:rsidR="00DF37E2">
        <w:t>UC-NCORP</w:t>
      </w:r>
      <w:r w:rsidR="00DF37E2" w:rsidRPr="000A2734">
        <w:rPr>
          <w:rFonts w:eastAsia="Times New Roman"/>
          <w:bCs/>
          <w:color w:val="000000"/>
        </w:rPr>
        <w:t xml:space="preserve"> are reviewed and approved appropriately before payment to determine if costs </w:t>
      </w:r>
      <w:r w:rsidR="00DF37E2">
        <w:rPr>
          <w:rFonts w:eastAsia="Times New Roman"/>
          <w:bCs/>
          <w:color w:val="000000"/>
        </w:rPr>
        <w:t>are</w:t>
      </w:r>
      <w:r w:rsidR="00DF37E2" w:rsidRPr="000A2734">
        <w:rPr>
          <w:rFonts w:eastAsia="Times New Roman"/>
          <w:bCs/>
          <w:color w:val="000000"/>
        </w:rPr>
        <w:t xml:space="preserve"> allowable.</w:t>
      </w:r>
    </w:p>
    <w:p w14:paraId="148240CC" w14:textId="7E26CAA8" w:rsidR="006E44C9" w:rsidRPr="00115F2B" w:rsidRDefault="006E44C9" w:rsidP="006E44C9">
      <w:pPr>
        <w:pStyle w:val="NoSpacing"/>
      </w:pPr>
    </w:p>
    <w:p w14:paraId="13D0603E" w14:textId="77777777" w:rsidR="006E44C9" w:rsidRPr="00970E49" w:rsidRDefault="006E44C9" w:rsidP="006E44C9">
      <w:pPr>
        <w:spacing w:after="0" w:line="240" w:lineRule="auto"/>
        <w:rPr>
          <w:b/>
          <w:sz w:val="10"/>
          <w:u w:val="single"/>
        </w:rPr>
      </w:pPr>
      <w:r>
        <w:rPr>
          <w:b/>
          <w:u w:val="single"/>
        </w:rPr>
        <w:t>GUIDELINES</w:t>
      </w:r>
    </w:p>
    <w:p w14:paraId="353B9079" w14:textId="791D6CA0" w:rsidR="00DF37E2" w:rsidRDefault="00DF37E2" w:rsidP="00DF37E2">
      <w:pPr>
        <w:pStyle w:val="NoSpacing"/>
        <w:rPr>
          <w:rFonts w:eastAsia="Times New Roman"/>
          <w:bCs/>
          <w:color w:val="000000"/>
        </w:rPr>
      </w:pPr>
      <w:r>
        <w:rPr>
          <w:rFonts w:eastAsia="Times New Roman"/>
          <w:bCs/>
          <w:color w:val="000000"/>
        </w:rPr>
        <w:t>This policy is based on the following guidelines; CFR §</w:t>
      </w:r>
      <w:r w:rsidRPr="00513BDC">
        <w:rPr>
          <w:rFonts w:eastAsia="Times New Roman"/>
          <w:bCs/>
          <w:color w:val="000000"/>
        </w:rPr>
        <w:t>2</w:t>
      </w:r>
      <w:r>
        <w:rPr>
          <w:rFonts w:eastAsia="Times New Roman"/>
          <w:bCs/>
          <w:color w:val="000000"/>
        </w:rPr>
        <w:t>00.303 </w:t>
      </w:r>
      <w:r w:rsidRPr="00513BDC">
        <w:rPr>
          <w:color w:val="000000"/>
        </w:rPr>
        <w:t>[78 FR 78608, Dec. 26, 2013, as amende</w:t>
      </w:r>
      <w:r>
        <w:rPr>
          <w:color w:val="000000"/>
        </w:rPr>
        <w:t>d at 79 FR 75883, Dec. 19, 2014]</w:t>
      </w:r>
      <w:r>
        <w:rPr>
          <w:rFonts w:eastAsia="Times New Roman"/>
          <w:bCs/>
          <w:color w:val="000000"/>
        </w:rPr>
        <w:t> </w:t>
      </w:r>
    </w:p>
    <w:p w14:paraId="78DD36D9" w14:textId="77777777" w:rsidR="00DF37E2" w:rsidRPr="006328E2" w:rsidRDefault="00DF37E2" w:rsidP="00DF37E2">
      <w:pPr>
        <w:pStyle w:val="NoSpacing"/>
        <w:rPr>
          <w:rFonts w:eastAsia="Times New Roman"/>
          <w:bCs/>
          <w:color w:val="000000"/>
        </w:rPr>
      </w:pPr>
    </w:p>
    <w:p w14:paraId="5653F353" w14:textId="77777777" w:rsidR="00DF37E2" w:rsidRPr="00787370" w:rsidRDefault="00DF37E2" w:rsidP="00DF37E2">
      <w:pPr>
        <w:pStyle w:val="NoSpacing"/>
        <w:rPr>
          <w:rFonts w:eastAsia="Times New Roman"/>
          <w:b/>
          <w:bCs/>
          <w:color w:val="000000"/>
        </w:rPr>
      </w:pPr>
      <w:r w:rsidRPr="00787370">
        <w:rPr>
          <w:rFonts w:eastAsia="Times New Roman"/>
          <w:b/>
          <w:bCs/>
          <w:color w:val="000000"/>
        </w:rPr>
        <w:t>Internal Controls </w:t>
      </w:r>
    </w:p>
    <w:p w14:paraId="6DAAA1D9" w14:textId="23DAB065" w:rsidR="00DF37E2" w:rsidRPr="00624B9F" w:rsidRDefault="00DF37E2" w:rsidP="00DF37E2">
      <w:pPr>
        <w:pStyle w:val="NoSpacing"/>
        <w:rPr>
          <w:color w:val="000000"/>
        </w:rPr>
      </w:pPr>
      <w:r>
        <w:rPr>
          <w:color w:val="000000"/>
        </w:rPr>
        <w:t>T</w:t>
      </w:r>
      <w:r w:rsidRPr="00513BDC">
        <w:rPr>
          <w:color w:val="000000"/>
        </w:rPr>
        <w:t>he non-Federal entity</w:t>
      </w:r>
      <w:r>
        <w:rPr>
          <w:color w:val="000000"/>
        </w:rPr>
        <w:t xml:space="preserve"> (</w:t>
      </w:r>
      <w:r>
        <w:t>UC-NCORP</w:t>
      </w:r>
      <w:r>
        <w:rPr>
          <w:color w:val="000000"/>
        </w:rPr>
        <w:t>)</w:t>
      </w:r>
      <w:r w:rsidRPr="00513BDC">
        <w:rPr>
          <w:color w:val="000000"/>
        </w:rPr>
        <w:t xml:space="preserve"> must:</w:t>
      </w:r>
    </w:p>
    <w:p w14:paraId="460FF4D9" w14:textId="77777777" w:rsidR="00DF37E2" w:rsidRDefault="00DF37E2" w:rsidP="00DF37E2">
      <w:pPr>
        <w:pStyle w:val="NoSpacing"/>
        <w:numPr>
          <w:ilvl w:val="0"/>
          <w:numId w:val="9"/>
        </w:numPr>
        <w:rPr>
          <w:color w:val="000000"/>
        </w:rPr>
      </w:pPr>
      <w:r w:rsidRPr="00513BDC">
        <w:rPr>
          <w:color w:val="000000"/>
        </w:rPr>
        <w:t>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w:t>
      </w:r>
      <w:r>
        <w:rPr>
          <w:color w:val="000000"/>
        </w:rPr>
        <w:t xml:space="preserve">he Treadway </w:t>
      </w:r>
      <w:r w:rsidRPr="00513BDC">
        <w:rPr>
          <w:color w:val="000000"/>
        </w:rPr>
        <w:t>Commission (COSO).</w:t>
      </w:r>
    </w:p>
    <w:p w14:paraId="6D30FBC6" w14:textId="77777777" w:rsidR="00DF37E2" w:rsidRPr="00787370" w:rsidRDefault="00DF37E2" w:rsidP="00DF37E2">
      <w:pPr>
        <w:pStyle w:val="NoSpacing"/>
        <w:numPr>
          <w:ilvl w:val="0"/>
          <w:numId w:val="9"/>
        </w:numPr>
        <w:rPr>
          <w:color w:val="000000"/>
        </w:rPr>
      </w:pPr>
      <w:r w:rsidRPr="00787370">
        <w:rPr>
          <w:color w:val="000000"/>
        </w:rPr>
        <w:t>Comply with Federal statutes, regulations, and the terms and conditions of the Federal awards.</w:t>
      </w:r>
    </w:p>
    <w:p w14:paraId="0B37DE0F" w14:textId="77777777" w:rsidR="00DF37E2" w:rsidRPr="00513BDC" w:rsidRDefault="00DF37E2" w:rsidP="00DF37E2">
      <w:pPr>
        <w:pStyle w:val="NoSpacing"/>
        <w:numPr>
          <w:ilvl w:val="0"/>
          <w:numId w:val="9"/>
        </w:numPr>
        <w:rPr>
          <w:color w:val="000000"/>
        </w:rPr>
      </w:pPr>
      <w:r w:rsidRPr="00513BDC">
        <w:rPr>
          <w:color w:val="000000"/>
        </w:rPr>
        <w:t>Evaluate and monitor the non-Federal entity's compliance with statutes, regulations and the terms and conditions of Federal awards.</w:t>
      </w:r>
    </w:p>
    <w:p w14:paraId="794E9420" w14:textId="77777777" w:rsidR="00DF37E2" w:rsidRPr="00513BDC" w:rsidRDefault="00DF37E2" w:rsidP="00DF37E2">
      <w:pPr>
        <w:pStyle w:val="NoSpacing"/>
        <w:numPr>
          <w:ilvl w:val="0"/>
          <w:numId w:val="9"/>
        </w:numPr>
        <w:rPr>
          <w:color w:val="000000"/>
        </w:rPr>
      </w:pPr>
      <w:r w:rsidRPr="00513BDC">
        <w:rPr>
          <w:color w:val="000000"/>
        </w:rPr>
        <w:t>Take prompt action when instances of noncompliance are identified including noncompliance identified in audit findings.</w:t>
      </w:r>
    </w:p>
    <w:p w14:paraId="5695960C" w14:textId="77777777" w:rsidR="00DF37E2" w:rsidRPr="00513BDC" w:rsidRDefault="00DF37E2" w:rsidP="00DF37E2">
      <w:pPr>
        <w:pStyle w:val="NoSpacing"/>
        <w:numPr>
          <w:ilvl w:val="0"/>
          <w:numId w:val="9"/>
        </w:numPr>
        <w:rPr>
          <w:color w:val="000000"/>
        </w:rPr>
      </w:pPr>
      <w:r w:rsidRPr="00513BDC">
        <w:rPr>
          <w:color w:val="000000"/>
        </w:rPr>
        <w:t>Take reasonable measures to safeguard protected personally identifiable information and other information the Federal awarding agency or pass-through entity designates as sensitive or the non-Federal entity considers sensitive consistent with applicable Federal, state, local, and tribal laws regarding privacy and obligations of confidentiality.</w:t>
      </w:r>
    </w:p>
    <w:p w14:paraId="7CA9F734" w14:textId="07FF3F3F" w:rsidR="00DF37E2" w:rsidRDefault="00DF37E2" w:rsidP="00DF37E2"/>
    <w:p w14:paraId="55335DD8" w14:textId="77777777" w:rsidR="00DF37E2" w:rsidRPr="00C26B5A" w:rsidRDefault="00DF37E2" w:rsidP="00DF37E2">
      <w:pPr>
        <w:pStyle w:val="NoSpacing"/>
        <w:rPr>
          <w:rFonts w:eastAsia="Times New Roman"/>
          <w:b/>
          <w:bCs/>
          <w:color w:val="000000"/>
          <w:u w:val="single"/>
        </w:rPr>
      </w:pPr>
      <w:r w:rsidRPr="00C26B5A">
        <w:rPr>
          <w:rFonts w:eastAsia="Times New Roman"/>
          <w:b/>
          <w:bCs/>
          <w:color w:val="000000"/>
          <w:u w:val="single"/>
        </w:rPr>
        <w:t>INTERNAL CONTROL PROCEDURE:</w:t>
      </w:r>
    </w:p>
    <w:p w14:paraId="2EA40CD9" w14:textId="6AC779B9" w:rsidR="00DF37E2" w:rsidRPr="00787370" w:rsidRDefault="00DF37E2" w:rsidP="00DF37E2">
      <w:pPr>
        <w:pStyle w:val="NoSpacing"/>
        <w:numPr>
          <w:ilvl w:val="0"/>
          <w:numId w:val="12"/>
        </w:numPr>
        <w:ind w:left="540" w:hanging="180"/>
        <w:rPr>
          <w:color w:val="000000"/>
        </w:rPr>
      </w:pPr>
      <w:r w:rsidRPr="00787370">
        <w:rPr>
          <w:color w:val="000000"/>
        </w:rPr>
        <w:t xml:space="preserve">Invoices received by </w:t>
      </w:r>
      <w:r>
        <w:t>UC-NCORP</w:t>
      </w:r>
      <w:r w:rsidRPr="00787370">
        <w:rPr>
          <w:color w:val="000000"/>
        </w:rPr>
        <w:t xml:space="preserve"> are reviewed and approved before payment is made to determine if they fall into the allowable costs policy. </w:t>
      </w:r>
    </w:p>
    <w:p w14:paraId="668DB174" w14:textId="521B45B4" w:rsidR="00DF37E2" w:rsidRPr="00787370" w:rsidRDefault="00DF37E2" w:rsidP="00DF37E2">
      <w:pPr>
        <w:pStyle w:val="NoSpacing"/>
        <w:numPr>
          <w:ilvl w:val="0"/>
          <w:numId w:val="12"/>
        </w:numPr>
        <w:ind w:left="540" w:hanging="180"/>
        <w:rPr>
          <w:color w:val="000000"/>
        </w:rPr>
      </w:pPr>
      <w:r w:rsidRPr="00787370">
        <w:rPr>
          <w:color w:val="000000"/>
        </w:rPr>
        <w:t xml:space="preserve">The payment must not exceed the appropriate budget category unless approved by the Administrator and/or </w:t>
      </w:r>
      <w:r w:rsidR="0003502E">
        <w:rPr>
          <w:color w:val="000000"/>
        </w:rPr>
        <w:t>Leadership</w:t>
      </w:r>
      <w:r w:rsidRPr="00787370">
        <w:rPr>
          <w:color w:val="000000"/>
        </w:rPr>
        <w:t xml:space="preserve"> Council.  </w:t>
      </w:r>
    </w:p>
    <w:p w14:paraId="7F442437" w14:textId="78562B92" w:rsidR="00DF37E2" w:rsidRPr="00A4578E" w:rsidRDefault="00DF37E2" w:rsidP="00DF37E2">
      <w:pPr>
        <w:pStyle w:val="NoSpacing"/>
        <w:numPr>
          <w:ilvl w:val="0"/>
          <w:numId w:val="12"/>
        </w:numPr>
        <w:ind w:left="540" w:hanging="180"/>
        <w:rPr>
          <w:color w:val="000000"/>
        </w:rPr>
      </w:pPr>
      <w:r w:rsidRPr="00787370">
        <w:rPr>
          <w:color w:val="000000"/>
        </w:rPr>
        <w:t xml:space="preserve">Monthly grant statements are prepared according to chart of accounts </w:t>
      </w:r>
      <w:r w:rsidR="0003502E">
        <w:rPr>
          <w:color w:val="000000"/>
        </w:rPr>
        <w:t xml:space="preserve">(Policy #3032) </w:t>
      </w:r>
      <w:r w:rsidRPr="00787370">
        <w:rPr>
          <w:color w:val="000000"/>
        </w:rPr>
        <w:t xml:space="preserve">developed for allowable </w:t>
      </w:r>
      <w:r w:rsidRPr="00A4578E">
        <w:rPr>
          <w:color w:val="000000"/>
        </w:rPr>
        <w:t xml:space="preserve">grant </w:t>
      </w:r>
      <w:r w:rsidR="0003502E">
        <w:rPr>
          <w:color w:val="000000"/>
        </w:rPr>
        <w:t xml:space="preserve">award categories.  </w:t>
      </w:r>
      <w:r w:rsidRPr="00A4578E">
        <w:rPr>
          <w:color w:val="000000"/>
        </w:rPr>
        <w:t xml:space="preserve">  </w:t>
      </w:r>
    </w:p>
    <w:p w14:paraId="662A0D5B" w14:textId="068211A0" w:rsidR="00DF37E2" w:rsidRPr="00A4578E" w:rsidRDefault="00DF37E2" w:rsidP="00DF37E2">
      <w:pPr>
        <w:pStyle w:val="NoSpacing"/>
        <w:numPr>
          <w:ilvl w:val="0"/>
          <w:numId w:val="12"/>
        </w:numPr>
        <w:ind w:left="540" w:hanging="180"/>
        <w:rPr>
          <w:color w:val="000000"/>
        </w:rPr>
      </w:pPr>
      <w:r w:rsidRPr="00A4578E">
        <w:rPr>
          <w:color w:val="000000"/>
        </w:rPr>
        <w:t xml:space="preserve">The statements are sent to the </w:t>
      </w:r>
      <w:r w:rsidR="00A4578E" w:rsidRPr="00A4578E">
        <w:rPr>
          <w:color w:val="000000"/>
        </w:rPr>
        <w:t>UP-NCORP Finance Chair</w:t>
      </w:r>
      <w:r w:rsidRPr="00A4578E">
        <w:rPr>
          <w:color w:val="000000"/>
        </w:rPr>
        <w:t xml:space="preserve"> Financ</w:t>
      </w:r>
      <w:r w:rsidR="00A4578E" w:rsidRPr="00A4578E">
        <w:rPr>
          <w:color w:val="000000"/>
        </w:rPr>
        <w:t>e for review and approval</w:t>
      </w:r>
      <w:r w:rsidR="0003502E">
        <w:rPr>
          <w:color w:val="000000"/>
        </w:rPr>
        <w:t xml:space="preserve"> monthly</w:t>
      </w:r>
      <w:r w:rsidR="00A4578E" w:rsidRPr="00A4578E">
        <w:rPr>
          <w:color w:val="000000"/>
        </w:rPr>
        <w:t>.</w:t>
      </w:r>
      <w:r w:rsidRPr="00A4578E">
        <w:rPr>
          <w:color w:val="000000"/>
        </w:rPr>
        <w:t xml:space="preserve"> </w:t>
      </w:r>
    </w:p>
    <w:p w14:paraId="37402CDD" w14:textId="7B70007E" w:rsidR="00DF37E2" w:rsidRPr="00787370" w:rsidRDefault="00DF37E2" w:rsidP="00DF37E2">
      <w:pPr>
        <w:pStyle w:val="NoSpacing"/>
        <w:numPr>
          <w:ilvl w:val="0"/>
          <w:numId w:val="12"/>
        </w:numPr>
        <w:ind w:left="540" w:hanging="180"/>
        <w:rPr>
          <w:color w:val="000000"/>
        </w:rPr>
      </w:pPr>
      <w:r w:rsidRPr="00A4578E">
        <w:rPr>
          <w:color w:val="000000"/>
        </w:rPr>
        <w:t xml:space="preserve">The monthly statements, bank reconciliation, check </w:t>
      </w:r>
      <w:r w:rsidR="0003502E">
        <w:rPr>
          <w:color w:val="000000"/>
        </w:rPr>
        <w:t xml:space="preserve">request </w:t>
      </w:r>
      <w:proofErr w:type="gramStart"/>
      <w:r w:rsidR="0003502E">
        <w:rPr>
          <w:color w:val="000000"/>
        </w:rPr>
        <w:t>are</w:t>
      </w:r>
      <w:proofErr w:type="gramEnd"/>
      <w:r w:rsidRPr="00A4578E">
        <w:rPr>
          <w:color w:val="000000"/>
        </w:rPr>
        <w:t xml:space="preserve"> attached to paid invoices, and</w:t>
      </w:r>
      <w:r w:rsidRPr="00787370">
        <w:rPr>
          <w:color w:val="000000"/>
        </w:rPr>
        <w:t xml:space="preserve"> quarterly financial cash reports </w:t>
      </w:r>
      <w:r w:rsidRPr="00A4578E">
        <w:rPr>
          <w:color w:val="000000"/>
        </w:rPr>
        <w:t xml:space="preserve">to </w:t>
      </w:r>
      <w:r w:rsidR="00A4578E" w:rsidRPr="00A4578E">
        <w:rPr>
          <w:color w:val="000000"/>
        </w:rPr>
        <w:t>Payment Management Services (</w:t>
      </w:r>
      <w:r w:rsidRPr="00A4578E">
        <w:rPr>
          <w:color w:val="000000"/>
        </w:rPr>
        <w:t>PMS</w:t>
      </w:r>
      <w:r w:rsidR="00A4578E" w:rsidRPr="00A4578E">
        <w:rPr>
          <w:color w:val="000000"/>
        </w:rPr>
        <w:t>)</w:t>
      </w:r>
      <w:r w:rsidRPr="00787370">
        <w:rPr>
          <w:color w:val="000000"/>
        </w:rPr>
        <w:t xml:space="preserve"> are compiled for the mandatory A-133 Audit performed after each budget period by an independent accounting firm.</w:t>
      </w:r>
    </w:p>
    <w:p w14:paraId="63DA75B7" w14:textId="77777777" w:rsidR="00A4578E" w:rsidRDefault="00A4578E" w:rsidP="006E44C9">
      <w:pPr>
        <w:pStyle w:val="NoSpacing"/>
        <w:rPr>
          <w:rFonts w:ascii="Calibri" w:hAnsi="Calibri"/>
          <w:b/>
        </w:rPr>
      </w:pPr>
    </w:p>
    <w:p w14:paraId="2D37FB69" w14:textId="2E091885" w:rsidR="006E44C9" w:rsidRPr="00003D3E" w:rsidRDefault="006E44C9" w:rsidP="006E44C9">
      <w:pPr>
        <w:pStyle w:val="NoSpacing"/>
        <w:rPr>
          <w:rFonts w:ascii="Calibri" w:hAnsi="Calibri"/>
          <w:b/>
        </w:rPr>
      </w:pPr>
      <w:r w:rsidRPr="00003D3E">
        <w:rPr>
          <w:rFonts w:ascii="Calibri" w:hAnsi="Calibri"/>
          <w:b/>
        </w:rPr>
        <w:lastRenderedPageBreak/>
        <w:t xml:space="preserve">ASSOCIATED FORMS:  </w:t>
      </w:r>
      <w:r w:rsidR="00A4578E">
        <w:rPr>
          <w:rFonts w:ascii="Calibri" w:hAnsi="Calibri"/>
          <w:b/>
        </w:rPr>
        <w:t>N/A</w:t>
      </w:r>
    </w:p>
    <w:p w14:paraId="4C18732D" w14:textId="77777777" w:rsidR="006E44C9" w:rsidRDefault="006E44C9" w:rsidP="006E44C9">
      <w:pPr>
        <w:pStyle w:val="NoSpacing"/>
        <w:rPr>
          <w:rFonts w:ascii="Calibri" w:hAnsi="Calibri"/>
          <w:b/>
          <w:sz w:val="28"/>
        </w:rPr>
      </w:pPr>
    </w:p>
    <w:p w14:paraId="61076927" w14:textId="77777777" w:rsidR="006E44C9" w:rsidRPr="00003D3E" w:rsidRDefault="006E44C9" w:rsidP="006E44C9">
      <w:pPr>
        <w:pStyle w:val="NoSpacing"/>
        <w:rPr>
          <w:rFonts w:ascii="Calibri" w:hAnsi="Calibri"/>
        </w:rPr>
      </w:pPr>
      <w:r w:rsidRPr="00003D3E">
        <w:rPr>
          <w:rFonts w:ascii="Calibri" w:hAnsi="Calibri"/>
          <w:b/>
        </w:rPr>
        <w:t>COMMITTEE APPROVAL</w:t>
      </w:r>
      <w:r w:rsidRPr="00003D3E">
        <w:rPr>
          <w:rFonts w:ascii="Calibri" w:hAnsi="Calibri"/>
        </w:rPr>
        <w:t xml:space="preserve">:  </w:t>
      </w:r>
    </w:p>
    <w:p w14:paraId="7459D4E8" w14:textId="77777777" w:rsidR="006E44C9" w:rsidRDefault="006E44C9" w:rsidP="006E44C9">
      <w:pPr>
        <w:pStyle w:val="NoSpacing"/>
        <w:rPr>
          <w:rFonts w:ascii="Calibri" w:hAnsi="Calibri"/>
        </w:rPr>
      </w:pPr>
      <w:r>
        <w:rPr>
          <w:rFonts w:ascii="Calibri" w:hAnsi="Calibri"/>
        </w:rPr>
        <w:t>Policy and Procedure Committee</w:t>
      </w:r>
    </w:p>
    <w:p w14:paraId="3549BD05" w14:textId="77777777" w:rsidR="006E44C9" w:rsidRDefault="006E44C9" w:rsidP="006E44C9">
      <w:pPr>
        <w:pStyle w:val="NoSpacing"/>
      </w:pPr>
    </w:p>
    <w:p w14:paraId="3F19400A" w14:textId="77777777" w:rsidR="00741859" w:rsidRPr="006E44C9" w:rsidRDefault="00741859" w:rsidP="006E44C9"/>
    <w:sectPr w:rsidR="00741859" w:rsidRPr="006E44C9" w:rsidSect="00004CB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0378C7D0"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36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362C">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5BC62892" w:rsidR="00D23BC4" w:rsidRDefault="00D23BC4">
        <w:pPr>
          <w:pStyle w:val="Footer"/>
          <w:jc w:val="center"/>
        </w:pPr>
        <w:r>
          <w:fldChar w:fldCharType="begin"/>
        </w:r>
        <w:r>
          <w:instrText xml:space="preserve"> PAGE   \* MERGEFORMAT </w:instrText>
        </w:r>
        <w:r>
          <w:fldChar w:fldCharType="separate"/>
        </w:r>
        <w:r w:rsidR="002B362C">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487EF4" w:rsidRPr="00D767DA" w14:paraId="3494C8D2" w14:textId="77777777" w:rsidTr="0003502E">
      <w:trPr>
        <w:trHeight w:val="350"/>
      </w:trPr>
      <w:tc>
        <w:tcPr>
          <w:tcW w:w="4068" w:type="dxa"/>
          <w:vMerge w:val="restart"/>
          <w:shd w:val="clear" w:color="auto" w:fill="auto"/>
        </w:tcPr>
        <w:p w14:paraId="2999EF90" w14:textId="77777777" w:rsidR="00487EF4" w:rsidRPr="00D767DA" w:rsidRDefault="00487EF4" w:rsidP="00487EF4">
          <w:pPr>
            <w:pStyle w:val="Header"/>
            <w:rPr>
              <w:rFonts w:ascii="Calibri" w:hAnsi="Calibri"/>
              <w:b/>
              <w:sz w:val="8"/>
            </w:rPr>
          </w:pPr>
        </w:p>
        <w:p w14:paraId="11883C22" w14:textId="2EDC6E84" w:rsidR="00487EF4" w:rsidRPr="00D767DA" w:rsidRDefault="00487EF4" w:rsidP="00487EF4">
          <w:pPr>
            <w:pStyle w:val="Header"/>
            <w:ind w:left="-90"/>
            <w:rPr>
              <w:rFonts w:ascii="Calibri" w:hAnsi="Calibri"/>
              <w:b/>
              <w:sz w:val="28"/>
            </w:rPr>
          </w:pPr>
          <w:r w:rsidRPr="009572F1">
            <w:rPr>
              <w:rFonts w:ascii="Calibri" w:hAnsi="Calibri"/>
              <w:b/>
              <w:noProof/>
              <w:sz w:val="28"/>
            </w:rPr>
            <w:drawing>
              <wp:inline distT="0" distB="0" distL="0" distR="0" wp14:anchorId="59888522" wp14:editId="2F77C11F">
                <wp:extent cx="2415540" cy="780097"/>
                <wp:effectExtent l="0" t="0" r="3810" b="127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536" cy="783002"/>
                        </a:xfrm>
                        <a:prstGeom prst="rect">
                          <a:avLst/>
                        </a:prstGeom>
                        <a:noFill/>
                        <a:ln>
                          <a:noFill/>
                        </a:ln>
                      </pic:spPr>
                    </pic:pic>
                  </a:graphicData>
                </a:graphic>
              </wp:inline>
            </w:drawing>
          </w:r>
        </w:p>
      </w:tc>
      <w:tc>
        <w:tcPr>
          <w:tcW w:w="5508" w:type="dxa"/>
          <w:shd w:val="clear" w:color="auto" w:fill="auto"/>
        </w:tcPr>
        <w:p w14:paraId="3277AF81" w14:textId="39FA8396" w:rsidR="00487EF4" w:rsidRPr="000B2F43" w:rsidRDefault="00487EF4" w:rsidP="00487EF4">
          <w:pPr>
            <w:pStyle w:val="Header"/>
            <w:jc w:val="right"/>
            <w:rPr>
              <w:rFonts w:ascii="Calibri" w:hAnsi="Calibri"/>
              <w:sz w:val="28"/>
            </w:rPr>
          </w:pPr>
          <w:r w:rsidRPr="00487EF4">
            <w:rPr>
              <w:rFonts w:ascii="Calibri" w:eastAsia="Times New Roman" w:hAnsi="Calibri" w:cs="Times New Roman"/>
              <w:sz w:val="24"/>
              <w:szCs w:val="24"/>
            </w:rPr>
            <w:t>Policy #:</w:t>
          </w:r>
          <w:r w:rsidRPr="00B83FAC">
            <w:rPr>
              <w:rFonts w:ascii="Calibri" w:eastAsia="Times New Roman" w:hAnsi="Calibri" w:cs="Times New Roman"/>
              <w:sz w:val="32"/>
              <w:szCs w:val="24"/>
            </w:rPr>
            <w:t xml:space="preserve"> </w:t>
          </w:r>
          <w:r w:rsidR="002A040E" w:rsidRPr="002B362C">
            <w:rPr>
              <w:rFonts w:ascii="Calibri" w:eastAsia="Times New Roman" w:hAnsi="Calibri" w:cs="Times New Roman"/>
              <w:color w:val="000000" w:themeColor="text1"/>
              <w:sz w:val="24"/>
              <w:szCs w:val="24"/>
            </w:rPr>
            <w:t>3021</w:t>
          </w:r>
        </w:p>
      </w:tc>
    </w:tr>
    <w:tr w:rsidR="00487EF4" w:rsidRPr="00D767DA" w14:paraId="65176760" w14:textId="77777777" w:rsidTr="0003502E">
      <w:trPr>
        <w:trHeight w:val="395"/>
      </w:trPr>
      <w:tc>
        <w:tcPr>
          <w:tcW w:w="4068" w:type="dxa"/>
          <w:vMerge/>
          <w:shd w:val="clear" w:color="auto" w:fill="auto"/>
        </w:tcPr>
        <w:p w14:paraId="4AE8FBC7" w14:textId="77777777" w:rsidR="00487EF4" w:rsidRPr="00D767DA" w:rsidRDefault="00487EF4" w:rsidP="00487EF4">
          <w:pPr>
            <w:pStyle w:val="Header"/>
            <w:jc w:val="center"/>
            <w:rPr>
              <w:rFonts w:ascii="Calibri" w:hAnsi="Calibri"/>
            </w:rPr>
          </w:pPr>
        </w:p>
      </w:tc>
      <w:tc>
        <w:tcPr>
          <w:tcW w:w="5508" w:type="dxa"/>
          <w:shd w:val="clear" w:color="auto" w:fill="auto"/>
        </w:tcPr>
        <w:p w14:paraId="670FD2D0" w14:textId="65B87402" w:rsidR="00487EF4" w:rsidRPr="000B2F43" w:rsidRDefault="00487EF4" w:rsidP="00487EF4">
          <w:pPr>
            <w:pStyle w:val="Header"/>
            <w:rPr>
              <w:rFonts w:ascii="Calibri" w:hAnsi="Calibri"/>
              <w:b/>
              <w:sz w:val="28"/>
              <w:szCs w:val="28"/>
            </w:rPr>
          </w:pPr>
          <w:r w:rsidRPr="000B2F43">
            <w:rPr>
              <w:rFonts w:ascii="Calibri" w:hAnsi="Calibri"/>
            </w:rPr>
            <w:t xml:space="preserve">Title:  </w:t>
          </w:r>
          <w:r>
            <w:rPr>
              <w:rFonts w:ascii="Calibri" w:hAnsi="Calibri"/>
            </w:rPr>
            <w:t xml:space="preserve"> </w:t>
          </w:r>
          <w:r w:rsidR="00A4578E">
            <w:rPr>
              <w:rFonts w:ascii="Calibri" w:eastAsia="Times New Roman" w:hAnsi="Calibri" w:cs="Times New Roman"/>
              <w:b/>
              <w:sz w:val="28"/>
              <w:szCs w:val="28"/>
            </w:rPr>
            <w:t>Internal Controls</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361"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3E60DF64" w:rsidR="00B83FAC" w:rsidRPr="00B83FAC" w:rsidRDefault="00B83FAC" w:rsidP="00DF37E2">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DF37E2" w:rsidRPr="00DF37E2">
            <w:rPr>
              <w:rFonts w:ascii="Calibri" w:eastAsia="Times New Roman" w:hAnsi="Calibri" w:cs="Times New Roman"/>
              <w:b/>
              <w:sz w:val="28"/>
              <w:szCs w:val="28"/>
            </w:rPr>
            <w:t>Internal Controls</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2751" w:type="dxa"/>
          <w:shd w:val="clear" w:color="auto" w:fill="auto"/>
        </w:tcPr>
        <w:p w14:paraId="2F515E2F" w14:textId="6CBC81A1" w:rsidR="00B83FAC" w:rsidRPr="00B83FAC" w:rsidRDefault="00B83FAC" w:rsidP="00176C62">
          <w:pPr>
            <w:tabs>
              <w:tab w:val="center" w:pos="4320"/>
              <w:tab w:val="right" w:pos="8640"/>
            </w:tabs>
            <w:spacing w:after="0" w:line="240" w:lineRule="auto"/>
            <w:rPr>
              <w:rFonts w:ascii="Calibri" w:eastAsia="Times New Roman" w:hAnsi="Calibri" w:cs="Times New Roman"/>
            </w:rPr>
          </w:pPr>
          <w:r w:rsidRPr="00487EF4">
            <w:rPr>
              <w:rFonts w:ascii="Calibri" w:eastAsia="Times New Roman" w:hAnsi="Calibri" w:cs="Times New Roman"/>
              <w:sz w:val="24"/>
              <w:szCs w:val="24"/>
            </w:rPr>
            <w:t>Policy #:</w:t>
          </w:r>
          <w:r w:rsidRPr="00B83FAC">
            <w:rPr>
              <w:rFonts w:ascii="Calibri" w:eastAsia="Times New Roman" w:hAnsi="Calibri" w:cs="Times New Roman"/>
              <w:sz w:val="32"/>
              <w:szCs w:val="24"/>
            </w:rPr>
            <w:t xml:space="preserve"> </w:t>
          </w:r>
          <w:r w:rsidR="002A040E" w:rsidRPr="002B362C">
            <w:rPr>
              <w:rFonts w:ascii="Calibri" w:eastAsia="Times New Roman" w:hAnsi="Calibri" w:cs="Times New Roman"/>
              <w:color w:val="000000" w:themeColor="text1"/>
              <w:sz w:val="24"/>
              <w:szCs w:val="24"/>
            </w:rPr>
            <w:t>3021</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41C0A75A"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376365">
            <w:rPr>
              <w:rFonts w:ascii="Calibri" w:eastAsia="Times New Roman" w:hAnsi="Calibri" w:cs="Times New Roman"/>
              <w:sz w:val="24"/>
              <w:szCs w:val="24"/>
            </w:rPr>
            <w:t>01/15/2020</w:t>
          </w:r>
        </w:p>
      </w:tc>
      <w:tc>
        <w:tcPr>
          <w:tcW w:w="2751" w:type="dxa"/>
          <w:shd w:val="clear" w:color="auto" w:fill="auto"/>
        </w:tcPr>
        <w:p w14:paraId="2477A286" w14:textId="3B45A854"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376365">
            <w:rPr>
              <w:rFonts w:ascii="Calibri" w:eastAsia="Times New Roman" w:hAnsi="Calibri" w:cs="Times New Roman"/>
              <w:sz w:val="24"/>
              <w:szCs w:val="24"/>
            </w:rPr>
            <w:t xml:space="preserve"> 01/15/2020</w:t>
          </w:r>
        </w:p>
      </w:tc>
    </w:tr>
    <w:tr w:rsidR="00741859" w:rsidRPr="005D48B1" w14:paraId="61F6D4CC" w14:textId="77777777" w:rsidTr="00E436A5">
      <w:tc>
        <w:tcPr>
          <w:tcW w:w="9609"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E436A5">
      <w:tc>
        <w:tcPr>
          <w:tcW w:w="9609"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84697"/>
    <w:multiLevelType w:val="hybridMultilevel"/>
    <w:tmpl w:val="6F1C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70AFC"/>
    <w:multiLevelType w:val="hybridMultilevel"/>
    <w:tmpl w:val="4F54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92B4A"/>
    <w:multiLevelType w:val="hybridMultilevel"/>
    <w:tmpl w:val="A1F2657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7"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84E2A"/>
    <w:multiLevelType w:val="hybridMultilevel"/>
    <w:tmpl w:val="AF6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9"/>
  </w:num>
  <w:num w:numId="5">
    <w:abstractNumId w:val="1"/>
  </w:num>
  <w:num w:numId="6">
    <w:abstractNumId w:val="5"/>
  </w:num>
  <w:num w:numId="7">
    <w:abstractNumId w:val="2"/>
  </w:num>
  <w:num w:numId="8">
    <w:abstractNumId w:val="8"/>
  </w:num>
  <w:num w:numId="9">
    <w:abstractNumId w:val="3"/>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04CB0"/>
    <w:rsid w:val="000144D7"/>
    <w:rsid w:val="0003502E"/>
    <w:rsid w:val="000442D4"/>
    <w:rsid w:val="000B2F43"/>
    <w:rsid w:val="000C71D6"/>
    <w:rsid w:val="000C7940"/>
    <w:rsid w:val="000F3E87"/>
    <w:rsid w:val="0013061A"/>
    <w:rsid w:val="00176C62"/>
    <w:rsid w:val="00271F2A"/>
    <w:rsid w:val="00291783"/>
    <w:rsid w:val="002A040E"/>
    <w:rsid w:val="002B362C"/>
    <w:rsid w:val="00376365"/>
    <w:rsid w:val="003B73D1"/>
    <w:rsid w:val="004041C8"/>
    <w:rsid w:val="00410A79"/>
    <w:rsid w:val="00487EF4"/>
    <w:rsid w:val="00493DFC"/>
    <w:rsid w:val="004D373B"/>
    <w:rsid w:val="00551BB7"/>
    <w:rsid w:val="00585E7A"/>
    <w:rsid w:val="005D48B1"/>
    <w:rsid w:val="005D7ED3"/>
    <w:rsid w:val="005E1FEE"/>
    <w:rsid w:val="006B4312"/>
    <w:rsid w:val="006C49E5"/>
    <w:rsid w:val="006E44C9"/>
    <w:rsid w:val="00741859"/>
    <w:rsid w:val="0074334D"/>
    <w:rsid w:val="0074711A"/>
    <w:rsid w:val="00793C3C"/>
    <w:rsid w:val="008B4B1B"/>
    <w:rsid w:val="0093788B"/>
    <w:rsid w:val="009572F1"/>
    <w:rsid w:val="009A48A9"/>
    <w:rsid w:val="009C38E9"/>
    <w:rsid w:val="00A128AF"/>
    <w:rsid w:val="00A4578E"/>
    <w:rsid w:val="00AA184E"/>
    <w:rsid w:val="00AC01C2"/>
    <w:rsid w:val="00AD65EA"/>
    <w:rsid w:val="00AE4057"/>
    <w:rsid w:val="00B83FAC"/>
    <w:rsid w:val="00B8415E"/>
    <w:rsid w:val="00C660A7"/>
    <w:rsid w:val="00C74B4F"/>
    <w:rsid w:val="00CB697F"/>
    <w:rsid w:val="00D23BC4"/>
    <w:rsid w:val="00D2735F"/>
    <w:rsid w:val="00DF37E2"/>
    <w:rsid w:val="00EB3314"/>
    <w:rsid w:val="00ED3025"/>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3</cp:revision>
  <cp:lastPrinted>2016-10-04T13:53:00Z</cp:lastPrinted>
  <dcterms:created xsi:type="dcterms:W3CDTF">2020-01-15T22:14:00Z</dcterms:created>
  <dcterms:modified xsi:type="dcterms:W3CDTF">2020-01-15T22:19:00Z</dcterms:modified>
</cp:coreProperties>
</file>