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bookmarkStart w:id="0" w:name="_GoBack"/>
      <w:bookmarkEnd w:id="0"/>
    </w:p>
    <w:p w14:paraId="6E017922" w14:textId="55F851B6" w:rsidR="006652FD" w:rsidRPr="00127045" w:rsidRDefault="00F969BE" w:rsidP="00127045">
      <w:pPr>
        <w:pStyle w:val="TableParagraph"/>
        <w:tabs>
          <w:tab w:val="left" w:pos="2485"/>
        </w:tabs>
        <w:spacing w:before="1"/>
        <w:ind w:left="106"/>
        <w:rPr>
          <w:rFonts w:ascii="Calibri"/>
          <w:spacing w:val="-1"/>
        </w:rPr>
      </w:pPr>
      <w:r w:rsidRPr="00127045">
        <w:rPr>
          <w:rFonts w:ascii="Calibri"/>
          <w:spacing w:val="-1"/>
        </w:rPr>
        <w:t xml:space="preserve">Upstate Carolina NCORP (UC-NCORP) </w:t>
      </w:r>
      <w:r w:rsidR="006652FD" w:rsidRPr="00127045">
        <w:rPr>
          <w:rFonts w:ascii="Calibri"/>
          <w:spacing w:val="-1"/>
        </w:rPr>
        <w:t>may utilize consultants to help in specialized areas (e.g. Intellectual Property) or where it is not economical to hire a full‐time person to fill a position for a short‐term project.</w:t>
      </w:r>
      <w:r w:rsidR="00021941" w:rsidRPr="00127045">
        <w:rPr>
          <w:rFonts w:ascii="Calibri"/>
          <w:spacing w:val="-1"/>
        </w:rPr>
        <w:t xml:space="preserve"> </w:t>
      </w:r>
      <w:r w:rsidR="006652FD" w:rsidRPr="00127045">
        <w:rPr>
          <w:rFonts w:ascii="Calibri"/>
          <w:spacing w:val="-1"/>
        </w:rPr>
        <w:t xml:space="preserve">The use of consultants allows </w:t>
      </w:r>
      <w:r w:rsidR="00127045" w:rsidRPr="00127045">
        <w:rPr>
          <w:rFonts w:ascii="Calibri"/>
          <w:spacing w:val="-1"/>
        </w:rPr>
        <w:t>UC-NCORP</w:t>
      </w:r>
      <w:r w:rsidR="006652FD" w:rsidRPr="00127045">
        <w:rPr>
          <w:rFonts w:ascii="Calibri"/>
          <w:spacing w:val="-1"/>
        </w:rPr>
        <w:t xml:space="preserve"> to gain access to highly skill</w:t>
      </w:r>
      <w:r w:rsidR="00127045" w:rsidRPr="00127045">
        <w:rPr>
          <w:rFonts w:ascii="Calibri"/>
          <w:spacing w:val="-1"/>
        </w:rPr>
        <w:t>ed</w:t>
      </w:r>
      <w:r w:rsidR="006652FD" w:rsidRPr="00127045">
        <w:rPr>
          <w:rFonts w:ascii="Calibri"/>
          <w:spacing w:val="-1"/>
        </w:rPr>
        <w:t xml:space="preserve"> professionals to</w:t>
      </w:r>
      <w:r w:rsidR="00127045" w:rsidRPr="00127045">
        <w:rPr>
          <w:rFonts w:ascii="Calibri"/>
          <w:spacing w:val="-1"/>
        </w:rPr>
        <w:t xml:space="preserve"> </w:t>
      </w:r>
      <w:r w:rsidR="006652FD" w:rsidRPr="00127045">
        <w:rPr>
          <w:rFonts w:ascii="Calibri"/>
          <w:spacing w:val="-1"/>
        </w:rPr>
        <w:t>assist in specialized areas.</w:t>
      </w:r>
    </w:p>
    <w:p w14:paraId="715BDD9F" w14:textId="77777777" w:rsidR="006652FD" w:rsidRPr="00357F27" w:rsidRDefault="006652FD" w:rsidP="006652FD">
      <w:pPr>
        <w:pStyle w:val="BodyText"/>
        <w:ind w:left="0"/>
        <w:rPr>
          <w:sz w:val="18"/>
          <w:szCs w:val="22"/>
        </w:rPr>
      </w:pPr>
    </w:p>
    <w:p w14:paraId="38E5A324" w14:textId="4D487FCE" w:rsidR="006652FD" w:rsidRPr="00021941" w:rsidRDefault="006652FD" w:rsidP="006652FD">
      <w:pPr>
        <w:pStyle w:val="BodyText"/>
        <w:ind w:left="0"/>
        <w:rPr>
          <w:sz w:val="22"/>
          <w:szCs w:val="22"/>
        </w:rPr>
      </w:pPr>
      <w:r w:rsidRPr="00021941">
        <w:rPr>
          <w:sz w:val="22"/>
          <w:szCs w:val="22"/>
        </w:rPr>
        <w:t>The</w:t>
      </w:r>
      <w:r w:rsidRPr="00021941">
        <w:rPr>
          <w:spacing w:val="-4"/>
          <w:sz w:val="22"/>
          <w:szCs w:val="22"/>
        </w:rPr>
        <w:t xml:space="preserve"> </w:t>
      </w:r>
      <w:r w:rsidRPr="00021941">
        <w:rPr>
          <w:spacing w:val="-1"/>
          <w:sz w:val="22"/>
          <w:szCs w:val="22"/>
        </w:rPr>
        <w:t>process</w:t>
      </w:r>
      <w:r w:rsidRPr="00021941">
        <w:rPr>
          <w:spacing w:val="-4"/>
          <w:sz w:val="22"/>
          <w:szCs w:val="22"/>
        </w:rPr>
        <w:t xml:space="preserve"> </w:t>
      </w:r>
      <w:r w:rsidRPr="00021941">
        <w:rPr>
          <w:sz w:val="22"/>
          <w:szCs w:val="22"/>
        </w:rPr>
        <w:t>for</w:t>
      </w:r>
      <w:r w:rsidRPr="00021941">
        <w:rPr>
          <w:spacing w:val="-5"/>
          <w:sz w:val="22"/>
          <w:szCs w:val="22"/>
        </w:rPr>
        <w:t xml:space="preserve"> </w:t>
      </w:r>
      <w:r w:rsidRPr="00021941">
        <w:rPr>
          <w:spacing w:val="-1"/>
          <w:sz w:val="22"/>
          <w:szCs w:val="22"/>
        </w:rPr>
        <w:t>determination</w:t>
      </w:r>
      <w:r w:rsidRPr="00021941">
        <w:rPr>
          <w:spacing w:val="-3"/>
          <w:sz w:val="22"/>
          <w:szCs w:val="22"/>
        </w:rPr>
        <w:t xml:space="preserve"> </w:t>
      </w:r>
      <w:r w:rsidRPr="00021941">
        <w:rPr>
          <w:sz w:val="22"/>
          <w:szCs w:val="22"/>
        </w:rPr>
        <w:t>of</w:t>
      </w:r>
      <w:r w:rsidRPr="00021941">
        <w:rPr>
          <w:spacing w:val="-3"/>
          <w:sz w:val="22"/>
          <w:szCs w:val="22"/>
        </w:rPr>
        <w:t xml:space="preserve"> </w:t>
      </w:r>
      <w:r w:rsidRPr="00021941">
        <w:rPr>
          <w:spacing w:val="-1"/>
          <w:sz w:val="22"/>
          <w:szCs w:val="22"/>
        </w:rPr>
        <w:t>need</w:t>
      </w:r>
      <w:r w:rsidRPr="00021941">
        <w:rPr>
          <w:spacing w:val="-4"/>
          <w:sz w:val="22"/>
          <w:szCs w:val="22"/>
        </w:rPr>
        <w:t xml:space="preserve"> </w:t>
      </w:r>
      <w:r w:rsidRPr="00021941">
        <w:rPr>
          <w:spacing w:val="-1"/>
          <w:sz w:val="22"/>
          <w:szCs w:val="22"/>
        </w:rPr>
        <w:t>and</w:t>
      </w:r>
      <w:r w:rsidRPr="00021941">
        <w:rPr>
          <w:sz w:val="22"/>
          <w:szCs w:val="22"/>
        </w:rPr>
        <w:t xml:space="preserve"> </w:t>
      </w:r>
      <w:r w:rsidRPr="00021941">
        <w:rPr>
          <w:spacing w:val="-1"/>
          <w:sz w:val="22"/>
          <w:szCs w:val="22"/>
        </w:rPr>
        <w:t>selection</w:t>
      </w:r>
      <w:r w:rsidRPr="00021941">
        <w:rPr>
          <w:spacing w:val="-4"/>
          <w:sz w:val="22"/>
          <w:szCs w:val="22"/>
        </w:rPr>
        <w:t xml:space="preserve"> </w:t>
      </w:r>
      <w:r w:rsidRPr="00021941">
        <w:rPr>
          <w:spacing w:val="-1"/>
          <w:sz w:val="22"/>
          <w:szCs w:val="22"/>
        </w:rPr>
        <w:t>process</w:t>
      </w:r>
      <w:r w:rsidRPr="00021941">
        <w:rPr>
          <w:spacing w:val="-2"/>
          <w:sz w:val="22"/>
          <w:szCs w:val="22"/>
        </w:rPr>
        <w:t xml:space="preserve"> </w:t>
      </w:r>
      <w:r w:rsidRPr="00021941">
        <w:rPr>
          <w:sz w:val="22"/>
          <w:szCs w:val="22"/>
        </w:rPr>
        <w:t>is</w:t>
      </w:r>
      <w:r w:rsidRPr="00021941">
        <w:rPr>
          <w:spacing w:val="-2"/>
          <w:sz w:val="22"/>
          <w:szCs w:val="22"/>
        </w:rPr>
        <w:t xml:space="preserve"> </w:t>
      </w:r>
      <w:r w:rsidRPr="00021941">
        <w:rPr>
          <w:sz w:val="22"/>
          <w:szCs w:val="22"/>
        </w:rPr>
        <w:t>as</w:t>
      </w:r>
      <w:r w:rsidRPr="00021941">
        <w:rPr>
          <w:spacing w:val="-5"/>
          <w:sz w:val="22"/>
          <w:szCs w:val="22"/>
        </w:rPr>
        <w:t xml:space="preserve"> </w:t>
      </w:r>
      <w:r w:rsidRPr="00021941">
        <w:rPr>
          <w:spacing w:val="-1"/>
          <w:sz w:val="22"/>
          <w:szCs w:val="22"/>
        </w:rPr>
        <w:t>follows</w:t>
      </w:r>
    </w:p>
    <w:tbl>
      <w:tblPr>
        <w:tblW w:w="10151" w:type="dxa"/>
        <w:tblInd w:w="-186" w:type="dxa"/>
        <w:tblLayout w:type="fixed"/>
        <w:tblCellMar>
          <w:left w:w="0" w:type="dxa"/>
          <w:right w:w="0" w:type="dxa"/>
        </w:tblCellMar>
        <w:tblLook w:val="01E0" w:firstRow="1" w:lastRow="1" w:firstColumn="1" w:lastColumn="1" w:noHBand="0" w:noVBand="0"/>
      </w:tblPr>
      <w:tblGrid>
        <w:gridCol w:w="2287"/>
        <w:gridCol w:w="5273"/>
        <w:gridCol w:w="2591"/>
      </w:tblGrid>
      <w:tr w:rsidR="006652FD" w:rsidRPr="00021941" w14:paraId="10733FFA" w14:textId="77777777" w:rsidTr="00357F27">
        <w:trPr>
          <w:trHeight w:hRule="exact" w:val="302"/>
        </w:trPr>
        <w:tc>
          <w:tcPr>
            <w:tcW w:w="228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CB05DCA" w14:textId="77777777" w:rsidR="006652FD" w:rsidRPr="00021941" w:rsidRDefault="006652FD" w:rsidP="00B54EF0">
            <w:pPr>
              <w:pStyle w:val="TableParagraph"/>
              <w:spacing w:line="282" w:lineRule="exact"/>
              <w:ind w:left="106"/>
              <w:rPr>
                <w:rFonts w:ascii="Calibri" w:eastAsia="Calibri" w:hAnsi="Calibri" w:cs="Calibri"/>
                <w:b/>
                <w:bCs/>
              </w:rPr>
            </w:pPr>
            <w:r w:rsidRPr="00021941">
              <w:rPr>
                <w:rFonts w:ascii="Calibri"/>
                <w:b/>
                <w:bCs/>
              </w:rPr>
              <w:t>Step</w:t>
            </w:r>
          </w:p>
        </w:tc>
        <w:tc>
          <w:tcPr>
            <w:tcW w:w="527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50AF3AF" w14:textId="77777777" w:rsidR="006652FD" w:rsidRPr="00021941" w:rsidRDefault="006652FD" w:rsidP="00B54EF0">
            <w:pPr>
              <w:pStyle w:val="TableParagraph"/>
              <w:spacing w:line="282" w:lineRule="exact"/>
              <w:ind w:left="106"/>
              <w:rPr>
                <w:rFonts w:ascii="Calibri" w:eastAsia="Calibri" w:hAnsi="Calibri" w:cs="Calibri"/>
                <w:b/>
                <w:bCs/>
              </w:rPr>
            </w:pPr>
            <w:r w:rsidRPr="00021941">
              <w:rPr>
                <w:rFonts w:ascii="Calibri"/>
                <w:b/>
                <w:bCs/>
                <w:spacing w:val="-1"/>
              </w:rPr>
              <w:t>Description</w:t>
            </w:r>
          </w:p>
        </w:tc>
        <w:tc>
          <w:tcPr>
            <w:tcW w:w="259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0337098" w14:textId="6C520A28" w:rsidR="006652FD" w:rsidRPr="00021941" w:rsidRDefault="006652FD" w:rsidP="00B54EF0">
            <w:pPr>
              <w:pStyle w:val="TableParagraph"/>
              <w:tabs>
                <w:tab w:val="left" w:pos="1160"/>
              </w:tabs>
              <w:spacing w:line="282" w:lineRule="exact"/>
              <w:ind w:left="106"/>
              <w:rPr>
                <w:rFonts w:ascii="Calibri" w:eastAsia="Calibri" w:hAnsi="Calibri" w:cs="Calibri"/>
                <w:b/>
                <w:bCs/>
              </w:rPr>
            </w:pPr>
            <w:r w:rsidRPr="00021941">
              <w:rPr>
                <w:rFonts w:ascii="Calibri"/>
                <w:b/>
                <w:bCs/>
                <w:w w:val="95"/>
              </w:rPr>
              <w:t>Respons</w:t>
            </w:r>
            <w:r w:rsidRPr="00021941">
              <w:rPr>
                <w:rFonts w:ascii="Calibri"/>
                <w:b/>
                <w:bCs/>
              </w:rPr>
              <w:t>e</w:t>
            </w:r>
          </w:p>
        </w:tc>
      </w:tr>
      <w:tr w:rsidR="006652FD" w:rsidRPr="00021941" w14:paraId="1E36B4D1" w14:textId="77777777" w:rsidTr="00357F27">
        <w:trPr>
          <w:trHeight w:hRule="exact" w:val="822"/>
        </w:trPr>
        <w:tc>
          <w:tcPr>
            <w:tcW w:w="2287" w:type="dxa"/>
            <w:tcBorders>
              <w:top w:val="single" w:sz="5" w:space="0" w:color="000000"/>
              <w:left w:val="single" w:sz="5" w:space="0" w:color="000000"/>
              <w:bottom w:val="single" w:sz="5" w:space="0" w:color="000000"/>
              <w:right w:val="single" w:sz="5" w:space="0" w:color="000000"/>
            </w:tcBorders>
          </w:tcPr>
          <w:p w14:paraId="306A1B9C" w14:textId="77777777" w:rsidR="006652FD" w:rsidRPr="00021941" w:rsidRDefault="006652FD" w:rsidP="00B54EF0">
            <w:pPr>
              <w:pStyle w:val="TableParagraph"/>
              <w:spacing w:before="1"/>
              <w:ind w:left="106"/>
              <w:rPr>
                <w:rFonts w:ascii="Calibri" w:eastAsia="Calibri" w:hAnsi="Calibri" w:cs="Calibri"/>
              </w:rPr>
            </w:pPr>
            <w:r w:rsidRPr="00021941">
              <w:rPr>
                <w:rFonts w:ascii="Calibri"/>
                <w:spacing w:val="-1"/>
              </w:rPr>
              <w:t>Consulting</w:t>
            </w:r>
            <w:r w:rsidRPr="00021941">
              <w:rPr>
                <w:rFonts w:ascii="Calibri"/>
                <w:spacing w:val="-4"/>
              </w:rPr>
              <w:t xml:space="preserve"> </w:t>
            </w:r>
            <w:r w:rsidRPr="00021941">
              <w:rPr>
                <w:rFonts w:ascii="Calibri"/>
                <w:spacing w:val="-1"/>
              </w:rPr>
              <w:t>Request</w:t>
            </w:r>
          </w:p>
        </w:tc>
        <w:tc>
          <w:tcPr>
            <w:tcW w:w="5273" w:type="dxa"/>
            <w:tcBorders>
              <w:top w:val="single" w:sz="5" w:space="0" w:color="000000"/>
              <w:left w:val="single" w:sz="5" w:space="0" w:color="000000"/>
              <w:bottom w:val="single" w:sz="5" w:space="0" w:color="000000"/>
              <w:right w:val="single" w:sz="5" w:space="0" w:color="000000"/>
            </w:tcBorders>
          </w:tcPr>
          <w:p w14:paraId="71B1F594" w14:textId="4E247DE0" w:rsidR="006652FD" w:rsidRPr="00021941" w:rsidRDefault="006652FD" w:rsidP="00021941">
            <w:pPr>
              <w:pStyle w:val="TableParagraph"/>
              <w:tabs>
                <w:tab w:val="left" w:pos="2485"/>
              </w:tabs>
              <w:spacing w:before="1"/>
              <w:ind w:left="106"/>
              <w:rPr>
                <w:rFonts w:ascii="Calibri" w:eastAsia="Calibri" w:hAnsi="Calibri" w:cs="Calibri"/>
              </w:rPr>
            </w:pPr>
            <w:r w:rsidRPr="00021941">
              <w:rPr>
                <w:rFonts w:ascii="Calibri"/>
                <w:spacing w:val="-1"/>
              </w:rPr>
              <w:t>Identification of the need for outside consulting services to be used. All requests are reviewed a management meeting</w:t>
            </w:r>
          </w:p>
        </w:tc>
        <w:tc>
          <w:tcPr>
            <w:tcW w:w="2591" w:type="dxa"/>
            <w:tcBorders>
              <w:top w:val="single" w:sz="5" w:space="0" w:color="000000"/>
              <w:left w:val="single" w:sz="5" w:space="0" w:color="000000"/>
              <w:bottom w:val="single" w:sz="5" w:space="0" w:color="000000"/>
              <w:right w:val="single" w:sz="5" w:space="0" w:color="000000"/>
            </w:tcBorders>
          </w:tcPr>
          <w:p w14:paraId="53271AA9" w14:textId="4A19354D" w:rsidR="006652FD" w:rsidRPr="00021941" w:rsidRDefault="006652FD" w:rsidP="00021941">
            <w:pPr>
              <w:pStyle w:val="TableParagraph"/>
              <w:spacing w:before="3"/>
              <w:ind w:left="106"/>
              <w:rPr>
                <w:rFonts w:ascii="Calibri" w:eastAsia="Calibri" w:hAnsi="Calibri" w:cs="Calibri"/>
              </w:rPr>
            </w:pPr>
            <w:r w:rsidRPr="00021941">
              <w:rPr>
                <w:rFonts w:ascii="Calibri"/>
              </w:rPr>
              <w:t>Anyone in the Consortium may submit a request</w:t>
            </w:r>
          </w:p>
        </w:tc>
      </w:tr>
      <w:tr w:rsidR="006652FD" w:rsidRPr="00021941" w14:paraId="5F6FBCF4" w14:textId="77777777" w:rsidTr="00357F27">
        <w:trPr>
          <w:trHeight w:hRule="exact" w:val="660"/>
        </w:trPr>
        <w:tc>
          <w:tcPr>
            <w:tcW w:w="2287" w:type="dxa"/>
            <w:tcBorders>
              <w:top w:val="single" w:sz="5" w:space="0" w:color="000000"/>
              <w:left w:val="single" w:sz="5" w:space="0" w:color="000000"/>
              <w:bottom w:val="single" w:sz="5" w:space="0" w:color="000000"/>
              <w:right w:val="single" w:sz="5" w:space="0" w:color="000000"/>
            </w:tcBorders>
          </w:tcPr>
          <w:p w14:paraId="33C36D39" w14:textId="3FF0B41B" w:rsidR="006652FD" w:rsidRPr="00021941" w:rsidRDefault="006652FD" w:rsidP="00021941">
            <w:pPr>
              <w:pStyle w:val="TableParagraph"/>
              <w:spacing w:before="3"/>
              <w:ind w:left="106"/>
              <w:rPr>
                <w:rFonts w:ascii="Calibri" w:eastAsia="Calibri" w:hAnsi="Calibri" w:cs="Calibri"/>
              </w:rPr>
            </w:pPr>
            <w:r w:rsidRPr="00021941">
              <w:rPr>
                <w:rFonts w:ascii="Calibri"/>
              </w:rPr>
              <w:t>Approval of Consulting</w:t>
            </w:r>
          </w:p>
        </w:tc>
        <w:tc>
          <w:tcPr>
            <w:tcW w:w="5273" w:type="dxa"/>
            <w:tcBorders>
              <w:top w:val="single" w:sz="5" w:space="0" w:color="000000"/>
              <w:left w:val="single" w:sz="5" w:space="0" w:color="000000"/>
              <w:bottom w:val="single" w:sz="5" w:space="0" w:color="000000"/>
              <w:right w:val="single" w:sz="5" w:space="0" w:color="000000"/>
            </w:tcBorders>
          </w:tcPr>
          <w:p w14:paraId="6B41FF7E" w14:textId="26AFBFF8" w:rsidR="006652FD" w:rsidRPr="00021941" w:rsidRDefault="006652FD" w:rsidP="00B54EF0">
            <w:pPr>
              <w:pStyle w:val="TableParagraph"/>
              <w:tabs>
                <w:tab w:val="left" w:pos="2485"/>
              </w:tabs>
              <w:spacing w:before="1"/>
              <w:ind w:left="106"/>
              <w:rPr>
                <w:rFonts w:ascii="Calibri" w:eastAsia="Calibri" w:hAnsi="Calibri" w:cs="Calibri"/>
              </w:rPr>
            </w:pPr>
            <w:r w:rsidRPr="00021941">
              <w:rPr>
                <w:rFonts w:ascii="Calibri"/>
                <w:spacing w:val="-1"/>
              </w:rPr>
              <w:t>Approve</w:t>
            </w:r>
            <w:r w:rsidRPr="00021941">
              <w:rPr>
                <w:rFonts w:ascii="Calibri"/>
                <w:spacing w:val="-2"/>
              </w:rPr>
              <w:t xml:space="preserve"> </w:t>
            </w:r>
            <w:r w:rsidRPr="00021941">
              <w:rPr>
                <w:rFonts w:ascii="Calibri"/>
                <w:spacing w:val="-1"/>
              </w:rPr>
              <w:t>request</w:t>
            </w:r>
            <w:r w:rsidRPr="00021941">
              <w:rPr>
                <w:rFonts w:ascii="Calibri"/>
                <w:spacing w:val="-4"/>
              </w:rPr>
              <w:t xml:space="preserve"> </w:t>
            </w:r>
            <w:r w:rsidRPr="00021941">
              <w:rPr>
                <w:rFonts w:ascii="Calibri"/>
              </w:rPr>
              <w:t>for</w:t>
            </w:r>
            <w:r w:rsidRPr="00021941">
              <w:rPr>
                <w:rFonts w:ascii="Calibri"/>
                <w:spacing w:val="-2"/>
              </w:rPr>
              <w:t xml:space="preserve"> </w:t>
            </w:r>
            <w:r w:rsidRPr="00021941">
              <w:rPr>
                <w:rFonts w:ascii="Calibri"/>
              </w:rPr>
              <w:t>con</w:t>
            </w:r>
            <w:r w:rsidRPr="00021941">
              <w:rPr>
                <w:rFonts w:ascii="Calibri"/>
                <w:spacing w:val="-1"/>
              </w:rPr>
              <w:t>sultant</w:t>
            </w:r>
            <w:r w:rsidRPr="00021941">
              <w:rPr>
                <w:rFonts w:ascii="Calibri"/>
                <w:spacing w:val="1"/>
              </w:rPr>
              <w:t xml:space="preserve"> </w:t>
            </w:r>
            <w:r w:rsidRPr="00021941">
              <w:rPr>
                <w:rFonts w:ascii="Calibri"/>
                <w:spacing w:val="-1"/>
              </w:rPr>
              <w:t>serv</w:t>
            </w:r>
            <w:r w:rsidRPr="00021941">
              <w:rPr>
                <w:rFonts w:ascii="Calibri"/>
              </w:rPr>
              <w:t>ic</w:t>
            </w:r>
            <w:r w:rsidRPr="00021941">
              <w:rPr>
                <w:rFonts w:ascii="Calibri"/>
                <w:spacing w:val="-1"/>
              </w:rPr>
              <w:t>es.</w:t>
            </w:r>
          </w:p>
        </w:tc>
        <w:tc>
          <w:tcPr>
            <w:tcW w:w="2591" w:type="dxa"/>
            <w:tcBorders>
              <w:top w:val="single" w:sz="5" w:space="0" w:color="000000"/>
              <w:left w:val="single" w:sz="5" w:space="0" w:color="000000"/>
              <w:bottom w:val="single" w:sz="5" w:space="0" w:color="000000"/>
              <w:right w:val="single" w:sz="5" w:space="0" w:color="000000"/>
            </w:tcBorders>
          </w:tcPr>
          <w:p w14:paraId="5DF3722B" w14:textId="39F64CD7" w:rsidR="006652FD" w:rsidRPr="00021941" w:rsidRDefault="006652FD" w:rsidP="00021941">
            <w:pPr>
              <w:pStyle w:val="TableParagraph"/>
              <w:spacing w:before="3"/>
              <w:ind w:left="106"/>
              <w:rPr>
                <w:rFonts w:ascii="Calibri" w:eastAsia="Calibri" w:hAnsi="Calibri" w:cs="Calibri"/>
              </w:rPr>
            </w:pPr>
            <w:r w:rsidRPr="00021941">
              <w:rPr>
                <w:rFonts w:ascii="Calibri"/>
              </w:rPr>
              <w:t>Principal Investigators /Administrator</w:t>
            </w:r>
          </w:p>
        </w:tc>
      </w:tr>
      <w:tr w:rsidR="006652FD" w:rsidRPr="00021941" w14:paraId="552FD4E5" w14:textId="77777777" w:rsidTr="00357F27">
        <w:trPr>
          <w:trHeight w:hRule="exact" w:val="588"/>
        </w:trPr>
        <w:tc>
          <w:tcPr>
            <w:tcW w:w="2287" w:type="dxa"/>
            <w:tcBorders>
              <w:top w:val="single" w:sz="5" w:space="0" w:color="000000"/>
              <w:left w:val="single" w:sz="5" w:space="0" w:color="000000"/>
              <w:bottom w:val="single" w:sz="5" w:space="0" w:color="000000"/>
              <w:right w:val="single" w:sz="5" w:space="0" w:color="000000"/>
            </w:tcBorders>
          </w:tcPr>
          <w:p w14:paraId="5CB0B49B" w14:textId="781EE63C" w:rsidR="006652FD" w:rsidRPr="00021941" w:rsidRDefault="006652FD" w:rsidP="00021941">
            <w:pPr>
              <w:pStyle w:val="TableParagraph"/>
              <w:spacing w:before="3"/>
              <w:ind w:left="106"/>
              <w:rPr>
                <w:rFonts w:ascii="Calibri" w:eastAsia="Calibri" w:hAnsi="Calibri" w:cs="Calibri"/>
              </w:rPr>
            </w:pPr>
            <w:r w:rsidRPr="00021941">
              <w:rPr>
                <w:rFonts w:ascii="Calibri"/>
              </w:rPr>
              <w:t>Selection of Consultant</w:t>
            </w:r>
          </w:p>
        </w:tc>
        <w:tc>
          <w:tcPr>
            <w:tcW w:w="5273" w:type="dxa"/>
            <w:tcBorders>
              <w:top w:val="single" w:sz="5" w:space="0" w:color="000000"/>
              <w:left w:val="single" w:sz="5" w:space="0" w:color="000000"/>
              <w:bottom w:val="single" w:sz="5" w:space="0" w:color="000000"/>
              <w:right w:val="single" w:sz="5" w:space="0" w:color="000000"/>
            </w:tcBorders>
          </w:tcPr>
          <w:p w14:paraId="5B314B2E" w14:textId="6158AA50" w:rsidR="006652FD" w:rsidRPr="00021941" w:rsidRDefault="006652FD" w:rsidP="00021941">
            <w:pPr>
              <w:pStyle w:val="TableParagraph"/>
              <w:tabs>
                <w:tab w:val="left" w:pos="2485"/>
              </w:tabs>
              <w:spacing w:before="1"/>
              <w:ind w:left="106"/>
              <w:rPr>
                <w:rFonts w:ascii="Calibri"/>
                <w:spacing w:val="-1"/>
              </w:rPr>
            </w:pPr>
            <w:r w:rsidRPr="00021941">
              <w:rPr>
                <w:rFonts w:ascii="Calibri"/>
                <w:spacing w:val="-1"/>
              </w:rPr>
              <w:t>Selection depends on area of specialty and expertise required.</w:t>
            </w:r>
          </w:p>
        </w:tc>
        <w:tc>
          <w:tcPr>
            <w:tcW w:w="2591" w:type="dxa"/>
            <w:tcBorders>
              <w:top w:val="single" w:sz="5" w:space="0" w:color="000000"/>
              <w:left w:val="single" w:sz="5" w:space="0" w:color="000000"/>
              <w:bottom w:val="single" w:sz="5" w:space="0" w:color="000000"/>
              <w:right w:val="single" w:sz="5" w:space="0" w:color="000000"/>
            </w:tcBorders>
          </w:tcPr>
          <w:p w14:paraId="0D1E0EF0" w14:textId="1C06AD78" w:rsidR="006652FD" w:rsidRPr="00021941" w:rsidRDefault="006652FD" w:rsidP="00021941">
            <w:pPr>
              <w:pStyle w:val="TableParagraph"/>
              <w:spacing w:before="3"/>
              <w:ind w:left="106"/>
              <w:rPr>
                <w:rFonts w:ascii="Calibri" w:eastAsia="Calibri" w:hAnsi="Calibri" w:cs="Calibri"/>
              </w:rPr>
            </w:pPr>
            <w:r w:rsidRPr="00021941">
              <w:rPr>
                <w:rFonts w:ascii="Calibri"/>
              </w:rPr>
              <w:t>Vice President of Oncology Support Services</w:t>
            </w:r>
          </w:p>
        </w:tc>
      </w:tr>
      <w:tr w:rsidR="00357F27" w:rsidRPr="00021941" w14:paraId="3399387A" w14:textId="77777777" w:rsidTr="00357F27">
        <w:trPr>
          <w:trHeight w:hRule="exact" w:val="1632"/>
        </w:trPr>
        <w:tc>
          <w:tcPr>
            <w:tcW w:w="2287" w:type="dxa"/>
            <w:tcBorders>
              <w:top w:val="single" w:sz="5" w:space="0" w:color="000000"/>
              <w:left w:val="single" w:sz="5" w:space="0" w:color="000000"/>
              <w:bottom w:val="single" w:sz="5" w:space="0" w:color="000000"/>
              <w:right w:val="single" w:sz="5" w:space="0" w:color="000000"/>
            </w:tcBorders>
          </w:tcPr>
          <w:p w14:paraId="450388B0" w14:textId="1FA0DCEC" w:rsidR="00357F27" w:rsidRPr="00021941" w:rsidRDefault="00357F27" w:rsidP="00B54EF0">
            <w:pPr>
              <w:pStyle w:val="TableParagraph"/>
              <w:spacing w:before="3"/>
              <w:ind w:left="106"/>
              <w:rPr>
                <w:rFonts w:ascii="Calibri"/>
              </w:rPr>
            </w:pPr>
            <w:r>
              <w:rPr>
                <w:rFonts w:ascii="Calibri"/>
              </w:rPr>
              <w:t>Establishment of Rate</w:t>
            </w:r>
          </w:p>
        </w:tc>
        <w:tc>
          <w:tcPr>
            <w:tcW w:w="5273" w:type="dxa"/>
            <w:tcBorders>
              <w:top w:val="single" w:sz="5" w:space="0" w:color="000000"/>
              <w:left w:val="single" w:sz="5" w:space="0" w:color="000000"/>
              <w:bottom w:val="single" w:sz="5" w:space="0" w:color="000000"/>
              <w:right w:val="single" w:sz="5" w:space="0" w:color="000000"/>
            </w:tcBorders>
          </w:tcPr>
          <w:p w14:paraId="442192BA" w14:textId="75B4FDE7" w:rsidR="00357F27" w:rsidRDefault="00357F27" w:rsidP="00357F27">
            <w:pPr>
              <w:pStyle w:val="TableParagraph"/>
              <w:tabs>
                <w:tab w:val="left" w:pos="2485"/>
              </w:tabs>
              <w:spacing w:before="1"/>
              <w:ind w:left="106"/>
              <w:rPr>
                <w:rFonts w:ascii="Calibri"/>
                <w:spacing w:val="-1"/>
              </w:rPr>
            </w:pPr>
            <w:r w:rsidRPr="00357F27">
              <w:rPr>
                <w:rFonts w:ascii="Calibri"/>
                <w:spacing w:val="-1"/>
              </w:rPr>
              <w:t>SRHS has a procedure to market-based salary levels for consultants.</w:t>
            </w:r>
            <w:r>
              <w:rPr>
                <w:rFonts w:ascii="Calibri"/>
                <w:spacing w:val="-1"/>
              </w:rPr>
              <w:t xml:space="preserve"> </w:t>
            </w:r>
            <w:r w:rsidRPr="00357F27">
              <w:rPr>
                <w:rFonts w:ascii="Calibri"/>
                <w:spacing w:val="-1"/>
              </w:rPr>
              <w:t>A rate for each consultant is established based on the following: Education, Experience &amp; Skills required</w:t>
            </w:r>
            <w:r>
              <w:rPr>
                <w:rFonts w:ascii="Calibri"/>
                <w:spacing w:val="-1"/>
              </w:rPr>
              <w:t>, and M</w:t>
            </w:r>
            <w:r w:rsidRPr="00357F27">
              <w:rPr>
                <w:rFonts w:ascii="Calibri"/>
                <w:spacing w:val="-1"/>
              </w:rPr>
              <w:t xml:space="preserve">arket </w:t>
            </w:r>
            <w:r>
              <w:rPr>
                <w:rFonts w:ascii="Calibri"/>
                <w:spacing w:val="-1"/>
              </w:rPr>
              <w:t>F</w:t>
            </w:r>
            <w:r w:rsidRPr="00357F27">
              <w:rPr>
                <w:rFonts w:ascii="Calibri"/>
                <w:spacing w:val="-1"/>
              </w:rPr>
              <w:t>orces</w:t>
            </w:r>
          </w:p>
          <w:p w14:paraId="57DDFD44" w14:textId="0C64E20B" w:rsidR="00357F27" w:rsidRPr="00357F27" w:rsidRDefault="00357F27" w:rsidP="00357F27">
            <w:pPr>
              <w:pStyle w:val="TableParagraph"/>
              <w:tabs>
                <w:tab w:val="left" w:pos="2485"/>
              </w:tabs>
              <w:spacing w:before="1"/>
              <w:ind w:left="106"/>
              <w:rPr>
                <w:rFonts w:ascii="Calibri"/>
                <w:spacing w:val="-1"/>
              </w:rPr>
            </w:pPr>
            <w:r w:rsidRPr="00357F27">
              <w:rPr>
                <w:rFonts w:ascii="Calibri"/>
                <w:spacing w:val="-1"/>
              </w:rPr>
              <w:t xml:space="preserve">The established rate is documented in the contract for recruitment. </w:t>
            </w:r>
          </w:p>
          <w:p w14:paraId="339F9E1B" w14:textId="77777777" w:rsidR="00357F27" w:rsidRPr="00021941" w:rsidRDefault="00357F27" w:rsidP="00021941">
            <w:pPr>
              <w:pStyle w:val="TableParagraph"/>
              <w:tabs>
                <w:tab w:val="left" w:pos="2485"/>
              </w:tabs>
              <w:spacing w:before="1"/>
              <w:ind w:left="106"/>
              <w:rPr>
                <w:rFonts w:ascii="Calibri"/>
                <w:spacing w:val="-1"/>
              </w:rPr>
            </w:pPr>
          </w:p>
        </w:tc>
        <w:tc>
          <w:tcPr>
            <w:tcW w:w="2591" w:type="dxa"/>
            <w:tcBorders>
              <w:top w:val="single" w:sz="5" w:space="0" w:color="000000"/>
              <w:left w:val="single" w:sz="5" w:space="0" w:color="000000"/>
              <w:bottom w:val="single" w:sz="5" w:space="0" w:color="000000"/>
              <w:right w:val="single" w:sz="5" w:space="0" w:color="000000"/>
            </w:tcBorders>
          </w:tcPr>
          <w:p w14:paraId="0D81474E" w14:textId="0B62CA63" w:rsidR="00357F27" w:rsidRPr="00021941" w:rsidRDefault="00357F27" w:rsidP="00B54EF0">
            <w:pPr>
              <w:pStyle w:val="TableParagraph"/>
              <w:spacing w:before="3"/>
              <w:ind w:left="106"/>
              <w:rPr>
                <w:rFonts w:ascii="Calibri"/>
              </w:rPr>
            </w:pPr>
            <w:r>
              <w:rPr>
                <w:rFonts w:ascii="Calibri"/>
              </w:rPr>
              <w:t>SRHS Compensation Specialist</w:t>
            </w:r>
          </w:p>
        </w:tc>
      </w:tr>
      <w:tr w:rsidR="006652FD" w:rsidRPr="00021941" w14:paraId="2A3BA28D" w14:textId="77777777" w:rsidTr="00357F27">
        <w:trPr>
          <w:trHeight w:hRule="exact" w:val="1713"/>
        </w:trPr>
        <w:tc>
          <w:tcPr>
            <w:tcW w:w="2287" w:type="dxa"/>
            <w:tcBorders>
              <w:top w:val="single" w:sz="5" w:space="0" w:color="000000"/>
              <w:left w:val="single" w:sz="5" w:space="0" w:color="000000"/>
              <w:bottom w:val="single" w:sz="5" w:space="0" w:color="000000"/>
              <w:right w:val="single" w:sz="5" w:space="0" w:color="000000"/>
            </w:tcBorders>
          </w:tcPr>
          <w:p w14:paraId="27072883" w14:textId="77777777" w:rsidR="006652FD" w:rsidRPr="00021941" w:rsidRDefault="006652FD" w:rsidP="00B54EF0">
            <w:pPr>
              <w:pStyle w:val="TableParagraph"/>
              <w:spacing w:before="3"/>
              <w:ind w:left="106"/>
              <w:rPr>
                <w:rFonts w:ascii="Calibri" w:eastAsia="Calibri" w:hAnsi="Calibri" w:cs="Calibri"/>
              </w:rPr>
            </w:pPr>
            <w:r w:rsidRPr="00021941">
              <w:rPr>
                <w:rFonts w:ascii="Calibri"/>
              </w:rPr>
              <w:t>Rates</w:t>
            </w:r>
            <w:r w:rsidRPr="00021941">
              <w:rPr>
                <w:rFonts w:ascii="Calibri"/>
                <w:spacing w:val="-5"/>
              </w:rPr>
              <w:t xml:space="preserve"> </w:t>
            </w:r>
            <w:r w:rsidRPr="00021941">
              <w:rPr>
                <w:rFonts w:ascii="Calibri"/>
                <w:spacing w:val="-1"/>
              </w:rPr>
              <w:t>and</w:t>
            </w:r>
            <w:r w:rsidRPr="00021941">
              <w:rPr>
                <w:rFonts w:ascii="Calibri"/>
                <w:spacing w:val="-3"/>
              </w:rPr>
              <w:t xml:space="preserve"> </w:t>
            </w:r>
            <w:r w:rsidRPr="00021941">
              <w:rPr>
                <w:rFonts w:ascii="Calibri"/>
                <w:spacing w:val="-1"/>
              </w:rPr>
              <w:t>Contract</w:t>
            </w:r>
          </w:p>
        </w:tc>
        <w:tc>
          <w:tcPr>
            <w:tcW w:w="5273" w:type="dxa"/>
            <w:tcBorders>
              <w:top w:val="single" w:sz="5" w:space="0" w:color="000000"/>
              <w:left w:val="single" w:sz="5" w:space="0" w:color="000000"/>
              <w:bottom w:val="single" w:sz="5" w:space="0" w:color="000000"/>
              <w:right w:val="single" w:sz="5" w:space="0" w:color="000000"/>
            </w:tcBorders>
          </w:tcPr>
          <w:p w14:paraId="3AB8251E" w14:textId="4EB73B64" w:rsidR="006652FD" w:rsidRPr="00021941" w:rsidRDefault="006652FD" w:rsidP="00021941">
            <w:pPr>
              <w:pStyle w:val="TableParagraph"/>
              <w:tabs>
                <w:tab w:val="left" w:pos="2485"/>
              </w:tabs>
              <w:spacing w:before="1"/>
              <w:ind w:left="106"/>
              <w:rPr>
                <w:rFonts w:ascii="Calibri"/>
                <w:spacing w:val="-1"/>
              </w:rPr>
            </w:pPr>
            <w:r w:rsidRPr="00021941">
              <w:rPr>
                <w:rFonts w:ascii="Calibri"/>
                <w:spacing w:val="-1"/>
              </w:rPr>
              <w:t>All consultants are required to sign a consultant agreement that describes the services to be performed, the rate of payment, and terms (e.g., confidentiality). All rates approved by the VP of Oncology Support Services and basis determined by regional salary scales, consultant institutional rate, or other reasonable methods.</w:t>
            </w:r>
          </w:p>
        </w:tc>
        <w:tc>
          <w:tcPr>
            <w:tcW w:w="2591" w:type="dxa"/>
            <w:tcBorders>
              <w:top w:val="single" w:sz="5" w:space="0" w:color="000000"/>
              <w:left w:val="single" w:sz="5" w:space="0" w:color="000000"/>
              <w:bottom w:val="single" w:sz="5" w:space="0" w:color="000000"/>
              <w:right w:val="single" w:sz="5" w:space="0" w:color="000000"/>
            </w:tcBorders>
          </w:tcPr>
          <w:p w14:paraId="4574BB20" w14:textId="6CD9B71D" w:rsidR="006652FD" w:rsidRPr="00021941" w:rsidRDefault="006652FD" w:rsidP="00B54EF0">
            <w:pPr>
              <w:pStyle w:val="TableParagraph"/>
              <w:spacing w:before="3"/>
              <w:ind w:left="106"/>
              <w:rPr>
                <w:rFonts w:ascii="Calibri" w:eastAsia="Calibri" w:hAnsi="Calibri" w:cs="Calibri"/>
              </w:rPr>
            </w:pPr>
            <w:r w:rsidRPr="00021941">
              <w:rPr>
                <w:rFonts w:ascii="Calibri"/>
              </w:rPr>
              <w:t>Vice President of Oncology Support Services</w:t>
            </w:r>
          </w:p>
        </w:tc>
      </w:tr>
      <w:tr w:rsidR="006652FD" w:rsidRPr="00021941" w14:paraId="0286ED96" w14:textId="77777777" w:rsidTr="00357F27">
        <w:trPr>
          <w:trHeight w:hRule="exact" w:val="2235"/>
        </w:trPr>
        <w:tc>
          <w:tcPr>
            <w:tcW w:w="2287" w:type="dxa"/>
            <w:tcBorders>
              <w:top w:val="single" w:sz="5" w:space="0" w:color="000000"/>
              <w:left w:val="single" w:sz="5" w:space="0" w:color="000000"/>
              <w:bottom w:val="single" w:sz="5" w:space="0" w:color="000000"/>
              <w:right w:val="single" w:sz="5" w:space="0" w:color="000000"/>
            </w:tcBorders>
          </w:tcPr>
          <w:p w14:paraId="4CD7D297" w14:textId="3464E929" w:rsidR="006652FD" w:rsidRPr="00021941" w:rsidRDefault="006652FD" w:rsidP="00B54EF0">
            <w:pPr>
              <w:pStyle w:val="TableParagraph"/>
              <w:spacing w:line="291" w:lineRule="exact"/>
              <w:ind w:left="231"/>
              <w:rPr>
                <w:rFonts w:ascii="Calibri" w:eastAsia="Calibri" w:hAnsi="Calibri" w:cs="Calibri"/>
              </w:rPr>
            </w:pPr>
            <w:r w:rsidRPr="00021941">
              <w:rPr>
                <w:rFonts w:ascii="Calibri"/>
              </w:rPr>
              <w:t>Payment</w:t>
            </w:r>
          </w:p>
        </w:tc>
        <w:tc>
          <w:tcPr>
            <w:tcW w:w="5273" w:type="dxa"/>
            <w:tcBorders>
              <w:top w:val="single" w:sz="5" w:space="0" w:color="000000"/>
              <w:left w:val="single" w:sz="5" w:space="0" w:color="000000"/>
              <w:bottom w:val="single" w:sz="5" w:space="0" w:color="000000"/>
              <w:right w:val="single" w:sz="5" w:space="0" w:color="000000"/>
            </w:tcBorders>
          </w:tcPr>
          <w:p w14:paraId="1374000C" w14:textId="41AE9A59" w:rsidR="006652FD" w:rsidRPr="00021941" w:rsidRDefault="006652FD" w:rsidP="00021941">
            <w:pPr>
              <w:pStyle w:val="TableParagraph"/>
              <w:tabs>
                <w:tab w:val="left" w:pos="2485"/>
              </w:tabs>
              <w:spacing w:before="1"/>
              <w:ind w:left="106"/>
              <w:rPr>
                <w:rFonts w:ascii="Calibri"/>
                <w:spacing w:val="-1"/>
              </w:rPr>
            </w:pPr>
            <w:r w:rsidRPr="00021941">
              <w:rPr>
                <w:rFonts w:ascii="Calibri"/>
                <w:spacing w:val="-1"/>
              </w:rPr>
              <w:t>Consultants must submit an invoice for services prior to payment. Rate based consultant services (e.g. hourly or daily charge), the invoice must include the time report specifying date, time, and description of work. The Vice President, prior to payment, must approve fixed fee consultant services after review of consultant report/work performed. Approval will be indicated on the signed check request.</w:t>
            </w:r>
          </w:p>
        </w:tc>
        <w:tc>
          <w:tcPr>
            <w:tcW w:w="2591" w:type="dxa"/>
            <w:tcBorders>
              <w:top w:val="single" w:sz="5" w:space="0" w:color="000000"/>
              <w:left w:val="single" w:sz="5" w:space="0" w:color="000000"/>
              <w:bottom w:val="single" w:sz="5" w:space="0" w:color="000000"/>
              <w:right w:val="single" w:sz="5" w:space="0" w:color="000000"/>
            </w:tcBorders>
          </w:tcPr>
          <w:p w14:paraId="64328E38" w14:textId="524B694C" w:rsidR="006652FD" w:rsidRPr="00021941" w:rsidRDefault="006652FD" w:rsidP="00B54EF0">
            <w:pPr>
              <w:pStyle w:val="TableParagraph"/>
              <w:spacing w:line="291" w:lineRule="exact"/>
              <w:ind w:left="106"/>
              <w:rPr>
                <w:rFonts w:ascii="Calibri" w:eastAsia="Calibri" w:hAnsi="Calibri" w:cs="Calibri"/>
              </w:rPr>
            </w:pPr>
            <w:r w:rsidRPr="00021941">
              <w:rPr>
                <w:rFonts w:ascii="Calibri"/>
                <w:spacing w:val="-1"/>
              </w:rPr>
              <w:t>Vice President of Oncology Support Services</w:t>
            </w:r>
          </w:p>
        </w:tc>
      </w:tr>
    </w:tbl>
    <w:p w14:paraId="20E2AA2F" w14:textId="23F23115" w:rsidR="00021941" w:rsidRPr="005E1FEE" w:rsidRDefault="005E1FEE" w:rsidP="006C49E5">
      <w:pPr>
        <w:pStyle w:val="NoSpacing"/>
        <w:rPr>
          <w:b/>
        </w:rPr>
      </w:pPr>
      <w:r>
        <w:rPr>
          <w:b/>
        </w:rPr>
        <w:t>REFERENCES</w:t>
      </w:r>
      <w:r w:rsidRPr="006C49E5">
        <w:rPr>
          <w:b/>
        </w:rPr>
        <w:t xml:space="preserve">:  </w:t>
      </w:r>
      <w:r w:rsidR="00021941">
        <w:rPr>
          <w:b/>
        </w:rPr>
        <w:t xml:space="preserve"> Office of Grants Management, New Organization Information Package, July 15, 2019</w:t>
      </w:r>
    </w:p>
    <w:p w14:paraId="0E86F58D" w14:textId="109BD6AB" w:rsidR="005E1FEE" w:rsidRPr="0098605A" w:rsidRDefault="005E1FEE" w:rsidP="006C49E5">
      <w:pPr>
        <w:pStyle w:val="NoSpacing"/>
        <w:rPr>
          <w:sz w:val="20"/>
        </w:rPr>
      </w:pPr>
    </w:p>
    <w:p w14:paraId="3AEC5264" w14:textId="1D51A941" w:rsidR="00176C62" w:rsidRPr="00176C62" w:rsidRDefault="008B4B1B" w:rsidP="006C49E5">
      <w:pPr>
        <w:pStyle w:val="NoSpacing"/>
        <w:rPr>
          <w:sz w:val="24"/>
          <w:szCs w:val="24"/>
        </w:rPr>
      </w:pPr>
      <w:r w:rsidRPr="006C49E5">
        <w:rPr>
          <w:b/>
        </w:rPr>
        <w:t xml:space="preserve">ASSOCIATED FORMS:  </w:t>
      </w:r>
      <w:r w:rsidR="00176C62" w:rsidRPr="00176C62">
        <w:rPr>
          <w:sz w:val="24"/>
          <w:szCs w:val="24"/>
        </w:rPr>
        <w:t>NA</w:t>
      </w:r>
    </w:p>
    <w:p w14:paraId="6375123D" w14:textId="77777777" w:rsidR="006C49E5" w:rsidRDefault="006C49E5" w:rsidP="006C49E5">
      <w:pPr>
        <w:pStyle w:val="NoSpacing"/>
        <w:rPr>
          <w:b/>
        </w:rPr>
      </w:pPr>
    </w:p>
    <w:p w14:paraId="035A6D21" w14:textId="60D6E60C" w:rsidR="00741859" w:rsidRPr="00AD65EA" w:rsidRDefault="008B4B1B" w:rsidP="006C49E5">
      <w:pPr>
        <w:pStyle w:val="NoSpacing"/>
        <w:rPr>
          <w:sz w:val="24"/>
          <w:szCs w:val="24"/>
        </w:rPr>
      </w:pPr>
      <w:r w:rsidRPr="006C49E5">
        <w:rPr>
          <w:b/>
        </w:rPr>
        <w:lastRenderedPageBreak/>
        <w:t xml:space="preserve">COMMITTEE APPROVAL:  </w:t>
      </w:r>
      <w:r w:rsidR="00176C62" w:rsidRPr="00176C62">
        <w:rPr>
          <w:sz w:val="24"/>
          <w:szCs w:val="24"/>
        </w:rPr>
        <w:t>Policy and Procedure Committee</w:t>
      </w:r>
    </w:p>
    <w:sectPr w:rsidR="00741859" w:rsidRPr="00AD65EA"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5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FC">
              <w:rPr>
                <w:b/>
                <w:bCs/>
                <w:noProof/>
              </w:rPr>
              <w:t>1</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0C7940">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75634AB9" w:rsidR="00741859" w:rsidRPr="000B2F43" w:rsidRDefault="00741859" w:rsidP="000B2F43">
          <w:pPr>
            <w:pStyle w:val="Header"/>
            <w:jc w:val="right"/>
            <w:rPr>
              <w:rFonts w:ascii="Calibri" w:hAnsi="Calibri"/>
              <w:sz w:val="28"/>
            </w:rPr>
          </w:pPr>
          <w:r w:rsidRPr="000B2F43">
            <w:rPr>
              <w:rFonts w:ascii="Calibri" w:hAnsi="Calibri"/>
            </w:rPr>
            <w:t xml:space="preserve">Policy #: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33064A32"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9572F1">
            <w:rPr>
              <w:rFonts w:ascii="Calibri" w:eastAsia="Times New Roman" w:hAnsi="Calibri" w:cs="Times New Roman"/>
              <w:b/>
              <w:sz w:val="28"/>
              <w:szCs w:val="28"/>
            </w:rPr>
            <w:t>Leadership Council</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610"/>
      <w:gridCol w:w="3307"/>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3DA32E43"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6652FD">
            <w:rPr>
              <w:rFonts w:ascii="Calibri" w:eastAsia="Times New Roman" w:hAnsi="Calibri" w:cs="Times New Roman"/>
              <w:b/>
              <w:sz w:val="28"/>
              <w:szCs w:val="28"/>
            </w:rPr>
            <w:t>Consultant Services Policy</w:t>
          </w:r>
        </w:p>
      </w:tc>
    </w:tr>
    <w:tr w:rsidR="00B83FAC" w:rsidRPr="005D48B1" w14:paraId="5F96F94E" w14:textId="77777777" w:rsidTr="00481F64">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307" w:type="dxa"/>
          <w:shd w:val="clear" w:color="auto" w:fill="auto"/>
        </w:tcPr>
        <w:p w14:paraId="2F515E2F" w14:textId="2D37EE8D" w:rsidR="00B83FAC" w:rsidRPr="0007030D" w:rsidRDefault="00B83FAC" w:rsidP="00176C62">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6652FD">
            <w:rPr>
              <w:rFonts w:ascii="Calibri" w:eastAsia="Times New Roman" w:hAnsi="Calibri" w:cs="Times New Roman"/>
              <w:sz w:val="24"/>
              <w:szCs w:val="24"/>
            </w:rPr>
            <w:t xml:space="preserve"> 1015</w:t>
          </w:r>
        </w:p>
      </w:tc>
    </w:tr>
    <w:tr w:rsidR="00B83FAC" w:rsidRPr="005D48B1" w14:paraId="1CA2AA06" w14:textId="77777777" w:rsidTr="00481F64">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6280B82D"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6A2EF5">
            <w:rPr>
              <w:rFonts w:ascii="Calibri" w:eastAsia="Times New Roman" w:hAnsi="Calibri" w:cs="Times New Roman"/>
              <w:sz w:val="24"/>
              <w:szCs w:val="24"/>
            </w:rPr>
            <w:t>01.15.2020</w:t>
          </w:r>
        </w:p>
      </w:tc>
      <w:tc>
        <w:tcPr>
          <w:tcW w:w="3307" w:type="dxa"/>
          <w:shd w:val="clear" w:color="auto" w:fill="auto"/>
        </w:tcPr>
        <w:p w14:paraId="2477A286" w14:textId="5EC8354C"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3370"/>
    <w:multiLevelType w:val="hybridMultilevel"/>
    <w:tmpl w:val="4BE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21941"/>
    <w:rsid w:val="000442D4"/>
    <w:rsid w:val="0007030D"/>
    <w:rsid w:val="000B2F43"/>
    <w:rsid w:val="000C71D6"/>
    <w:rsid w:val="000C7940"/>
    <w:rsid w:val="000F3E87"/>
    <w:rsid w:val="00127045"/>
    <w:rsid w:val="0013061A"/>
    <w:rsid w:val="00176C62"/>
    <w:rsid w:val="00271F2A"/>
    <w:rsid w:val="00291783"/>
    <w:rsid w:val="002D103E"/>
    <w:rsid w:val="00357F27"/>
    <w:rsid w:val="003B73D1"/>
    <w:rsid w:val="004041C8"/>
    <w:rsid w:val="00481F64"/>
    <w:rsid w:val="00493DFC"/>
    <w:rsid w:val="004D373B"/>
    <w:rsid w:val="00551BB7"/>
    <w:rsid w:val="00585E7A"/>
    <w:rsid w:val="005D48B1"/>
    <w:rsid w:val="005D7ED3"/>
    <w:rsid w:val="005E1FEE"/>
    <w:rsid w:val="006652FD"/>
    <w:rsid w:val="006A2EF5"/>
    <w:rsid w:val="006B4312"/>
    <w:rsid w:val="006C49E5"/>
    <w:rsid w:val="00741859"/>
    <w:rsid w:val="0074334D"/>
    <w:rsid w:val="0074711A"/>
    <w:rsid w:val="00793C3C"/>
    <w:rsid w:val="008B4B1B"/>
    <w:rsid w:val="0093788B"/>
    <w:rsid w:val="009572F1"/>
    <w:rsid w:val="0098605A"/>
    <w:rsid w:val="009A48A9"/>
    <w:rsid w:val="009C38E9"/>
    <w:rsid w:val="00A128AF"/>
    <w:rsid w:val="00AA184E"/>
    <w:rsid w:val="00AC01C2"/>
    <w:rsid w:val="00AD65EA"/>
    <w:rsid w:val="00AE4057"/>
    <w:rsid w:val="00B83FAC"/>
    <w:rsid w:val="00B8415E"/>
    <w:rsid w:val="00C74B4F"/>
    <w:rsid w:val="00CB697F"/>
    <w:rsid w:val="00D23BC4"/>
    <w:rsid w:val="00D2735F"/>
    <w:rsid w:val="00EB3314"/>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styleId="UnresolvedMention">
    <w:name w:val="Unresolved Mention"/>
    <w:basedOn w:val="DefaultParagraphFont"/>
    <w:uiPriority w:val="99"/>
    <w:rsid w:val="005E1FEE"/>
    <w:rPr>
      <w:color w:val="605E5C"/>
      <w:shd w:val="clear" w:color="auto" w:fill="E1DFDD"/>
    </w:rPr>
  </w:style>
  <w:style w:type="paragraph" w:styleId="BodyText">
    <w:name w:val="Body Text"/>
    <w:basedOn w:val="Normal"/>
    <w:link w:val="BodyTextChar"/>
    <w:uiPriority w:val="1"/>
    <w:qFormat/>
    <w:rsid w:val="006652FD"/>
    <w:pPr>
      <w:widowControl w:val="0"/>
      <w:spacing w:after="0" w:line="240" w:lineRule="auto"/>
      <w:ind w:left="220"/>
    </w:pPr>
    <w:rPr>
      <w:rFonts w:ascii="Calibri" w:eastAsia="Calibri" w:hAnsi="Calibri"/>
      <w:sz w:val="24"/>
      <w:szCs w:val="24"/>
    </w:rPr>
  </w:style>
  <w:style w:type="character" w:customStyle="1" w:styleId="BodyTextChar">
    <w:name w:val="Body Text Char"/>
    <w:basedOn w:val="DefaultParagraphFont"/>
    <w:link w:val="BodyText"/>
    <w:uiPriority w:val="1"/>
    <w:rsid w:val="006652FD"/>
    <w:rPr>
      <w:rFonts w:ascii="Calibri" w:eastAsia="Calibri" w:hAnsi="Calibri"/>
      <w:sz w:val="24"/>
      <w:szCs w:val="24"/>
    </w:rPr>
  </w:style>
  <w:style w:type="paragraph" w:customStyle="1" w:styleId="TableParagraph">
    <w:name w:val="Table Paragraph"/>
    <w:basedOn w:val="Normal"/>
    <w:uiPriority w:val="1"/>
    <w:qFormat/>
    <w:rsid w:val="006652F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Mertz-Rivera, Kamara</dc:creator>
  <cp:lastModifiedBy>Mertz-Rivera, Kamara</cp:lastModifiedBy>
  <cp:revision>6</cp:revision>
  <cp:lastPrinted>2016-10-04T13:53:00Z</cp:lastPrinted>
  <dcterms:created xsi:type="dcterms:W3CDTF">2019-07-15T21:14:00Z</dcterms:created>
  <dcterms:modified xsi:type="dcterms:W3CDTF">2020-01-15T23:28:00Z</dcterms:modified>
</cp:coreProperties>
</file>